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0AAE01F4" w:rsidR="00CD3913" w:rsidRPr="003522A9" w:rsidRDefault="00D06A83" w:rsidP="004C58CF">
      <w:pPr>
        <w:jc w:val="center"/>
        <w:rPr>
          <w:rFonts w:ascii="Arial" w:hAnsi="Arial" w:cs="Arial"/>
          <w:b/>
          <w:bCs/>
        </w:rPr>
      </w:pPr>
      <w:r>
        <w:rPr>
          <w:rFonts w:ascii="Arial" w:hAnsi="Arial" w:cs="Arial"/>
          <w:b/>
          <w:bCs/>
        </w:rPr>
        <w:t xml:space="preserve">Parallel Analysis Using O’Connor’s </w:t>
      </w:r>
      <w:r w:rsidR="00955DF4">
        <w:rPr>
          <w:rFonts w:ascii="Arial" w:hAnsi="Arial" w:cs="Arial"/>
          <w:b/>
          <w:bCs/>
        </w:rPr>
        <w:t xml:space="preserve">SAS </w:t>
      </w:r>
      <w:r>
        <w:rPr>
          <w:rFonts w:ascii="Arial" w:hAnsi="Arial" w:cs="Arial"/>
          <w:b/>
          <w:bCs/>
        </w:rPr>
        <w:t>Macro</w:t>
      </w:r>
      <w:r w:rsidR="004C344B" w:rsidRPr="004C344B">
        <w:rPr>
          <w:rFonts w:ascii="Arial" w:hAnsi="Arial" w:cs="Arial"/>
          <w:b/>
          <w:bCs/>
        </w:rPr>
        <w:t xml:space="preserve"> </w:t>
      </w:r>
    </w:p>
    <w:p w14:paraId="2F020202" w14:textId="77777777" w:rsidR="004C58CF" w:rsidRDefault="004C58CF" w:rsidP="004C58CF">
      <w:pPr>
        <w:jc w:val="center"/>
        <w:rPr>
          <w:rFonts w:ascii="Arial" w:hAnsi="Arial" w:cs="Arial"/>
        </w:rPr>
      </w:pPr>
    </w:p>
    <w:p w14:paraId="3FD71BB1" w14:textId="56A9FF5A" w:rsidR="00FA42CE" w:rsidRDefault="00FA42CE" w:rsidP="004C58CF">
      <w:pPr>
        <w:rPr>
          <w:rFonts w:ascii="Arial" w:hAnsi="Arial" w:cs="Arial"/>
        </w:rPr>
      </w:pPr>
      <w:r>
        <w:rPr>
          <w:rFonts w:ascii="Arial" w:hAnsi="Arial" w:cs="Arial"/>
        </w:rPr>
        <w:t xml:space="preserve">In this document I explain how to use </w:t>
      </w:r>
      <w:r w:rsidR="00D06A83">
        <w:rPr>
          <w:rFonts w:ascii="Arial" w:hAnsi="Arial" w:cs="Arial"/>
        </w:rPr>
        <w:t xml:space="preserve">O’Connor’s </w:t>
      </w:r>
      <w:r>
        <w:rPr>
          <w:rFonts w:ascii="Arial" w:hAnsi="Arial" w:cs="Arial"/>
        </w:rPr>
        <w:t>S</w:t>
      </w:r>
      <w:r w:rsidR="008F1B7E">
        <w:rPr>
          <w:rFonts w:ascii="Arial" w:hAnsi="Arial" w:cs="Arial"/>
        </w:rPr>
        <w:t xml:space="preserve">AS </w:t>
      </w:r>
      <w:r w:rsidR="00D06A83">
        <w:rPr>
          <w:rFonts w:ascii="Arial" w:hAnsi="Arial" w:cs="Arial"/>
        </w:rPr>
        <w:t xml:space="preserve">macro to obtain a parallel analysis (PA). The macro can be obtained from his website at </w:t>
      </w:r>
      <w:hyperlink r:id="rId8" w:history="1">
        <w:r w:rsidR="00D06A83" w:rsidRPr="004175AA">
          <w:rPr>
            <w:rStyle w:val="Hyperlink"/>
            <w:rFonts w:ascii="Arial" w:hAnsi="Arial" w:cs="Arial"/>
          </w:rPr>
          <w:t>https://people.ok.ubc.ca/brioconn/nfactors/nfactors.html</w:t>
        </w:r>
      </w:hyperlink>
      <w:r w:rsidR="00D06A83">
        <w:rPr>
          <w:rFonts w:ascii="Arial" w:hAnsi="Arial" w:cs="Arial"/>
        </w:rPr>
        <w:t xml:space="preserve"> and </w:t>
      </w:r>
      <w:r w:rsidR="0075398B">
        <w:rPr>
          <w:rFonts w:ascii="Arial" w:hAnsi="Arial" w:cs="Arial"/>
        </w:rPr>
        <w:t>is</w:t>
      </w:r>
      <w:r w:rsidR="00D06A83">
        <w:rPr>
          <w:rFonts w:ascii="Arial" w:hAnsi="Arial" w:cs="Arial"/>
        </w:rPr>
        <w:t xml:space="preserve"> referenced in the article:</w:t>
      </w:r>
    </w:p>
    <w:p w14:paraId="20E06438" w14:textId="5B718BE3" w:rsidR="00D06A83" w:rsidRDefault="00D06A83" w:rsidP="004C58CF">
      <w:pPr>
        <w:rPr>
          <w:rFonts w:ascii="Arial" w:hAnsi="Arial" w:cs="Arial"/>
        </w:rPr>
      </w:pPr>
    </w:p>
    <w:p w14:paraId="2E10719C" w14:textId="13D515C4" w:rsidR="00D06A83" w:rsidRDefault="00D06A83" w:rsidP="00D06A83">
      <w:pPr>
        <w:ind w:left="720" w:hanging="720"/>
        <w:rPr>
          <w:rFonts w:ascii="Arial" w:hAnsi="Arial" w:cs="Arial"/>
        </w:rPr>
      </w:pPr>
      <w:r w:rsidRPr="00D06A83">
        <w:rPr>
          <w:rFonts w:ascii="Arial" w:hAnsi="Arial" w:cs="Arial"/>
        </w:rPr>
        <w:t xml:space="preserve">O'Connor, B. P. (2000). SPSS and SAS programs for determining the number of components using parallel analysis and </w:t>
      </w:r>
      <w:proofErr w:type="spellStart"/>
      <w:r w:rsidRPr="00D06A83">
        <w:rPr>
          <w:rFonts w:ascii="Arial" w:hAnsi="Arial" w:cs="Arial"/>
        </w:rPr>
        <w:t>Velicer's</w:t>
      </w:r>
      <w:proofErr w:type="spellEnd"/>
      <w:r w:rsidRPr="00D06A83">
        <w:rPr>
          <w:rFonts w:ascii="Arial" w:hAnsi="Arial" w:cs="Arial"/>
        </w:rPr>
        <w:t xml:space="preserve"> MAP test. </w:t>
      </w:r>
      <w:hyperlink r:id="rId9" w:history="1">
        <w:r w:rsidRPr="00D06A83">
          <w:rPr>
            <w:rFonts w:ascii="Arial" w:hAnsi="Arial" w:cs="Arial"/>
            <w:i/>
            <w:iCs/>
            <w:color w:val="0000FF"/>
            <w:u w:val="single"/>
          </w:rPr>
          <w:t xml:space="preserve">Behavior Research </w:t>
        </w:r>
        <w:bookmarkStart w:id="0" w:name="_GoBack"/>
        <w:bookmarkEnd w:id="0"/>
        <w:r w:rsidRPr="00D06A83">
          <w:rPr>
            <w:rFonts w:ascii="Arial" w:hAnsi="Arial" w:cs="Arial"/>
            <w:i/>
            <w:iCs/>
            <w:color w:val="0000FF"/>
            <w:u w:val="single"/>
          </w:rPr>
          <w:t>Methods, Instrumentation, and Computers, 32,</w:t>
        </w:r>
      </w:hyperlink>
      <w:r w:rsidRPr="00D06A83">
        <w:rPr>
          <w:rFonts w:ascii="Arial" w:hAnsi="Arial" w:cs="Arial"/>
        </w:rPr>
        <w:t xml:space="preserve"> 396-402.</w:t>
      </w:r>
    </w:p>
    <w:p w14:paraId="122BF5D8" w14:textId="6C0B684B" w:rsidR="003A4CF1" w:rsidRDefault="003A4CF1" w:rsidP="004C58CF">
      <w:pPr>
        <w:rPr>
          <w:rFonts w:ascii="Arial" w:hAnsi="Arial" w:cs="Arial"/>
        </w:rPr>
      </w:pPr>
    </w:p>
    <w:p w14:paraId="0CACECCD" w14:textId="6FD09090" w:rsidR="003A4CF1" w:rsidRDefault="003A4CF1" w:rsidP="004C58CF">
      <w:pPr>
        <w:rPr>
          <w:rFonts w:ascii="Arial" w:hAnsi="Arial" w:cs="Arial"/>
        </w:rPr>
      </w:pPr>
      <w:r>
        <w:rPr>
          <w:rFonts w:ascii="Arial" w:hAnsi="Arial" w:cs="Arial"/>
        </w:rPr>
        <w:t xml:space="preserve">The data from this study are based on the Attitudes toward Scientists data from chapter 12 in the text. These data represent scores on the nine items shown on page 311 of the text. </w:t>
      </w:r>
      <w:r w:rsidR="00D06A83">
        <w:rPr>
          <w:rFonts w:ascii="Arial" w:hAnsi="Arial" w:cs="Arial"/>
        </w:rPr>
        <w:t xml:space="preserve">Note that </w:t>
      </w:r>
      <w:r w:rsidR="006B5CA6">
        <w:rPr>
          <w:rFonts w:ascii="Arial" w:hAnsi="Arial" w:cs="Arial"/>
        </w:rPr>
        <w:t>the macro cannot handle missing data, so a data set based on complete data only must be created. I have done this for the Scientist data; the resulting SAS data file is “Scientist_nomiss.s</w:t>
      </w:r>
      <w:r w:rsidR="006B5CA6" w:rsidRPr="00D82A1F">
        <w:rPr>
          <w:rFonts w:ascii="Arial" w:hAnsi="Arial" w:cs="Arial"/>
        </w:rPr>
        <w:t>as7bdat</w:t>
      </w:r>
      <w:r w:rsidR="006B5CA6">
        <w:rPr>
          <w:rFonts w:ascii="Arial" w:hAnsi="Arial" w:cs="Arial"/>
        </w:rPr>
        <w:t xml:space="preserve">.” The data set contains responses from </w:t>
      </w:r>
      <w:r w:rsidR="00D06A83">
        <w:rPr>
          <w:rFonts w:ascii="Arial" w:hAnsi="Arial" w:cs="Arial"/>
        </w:rPr>
        <w:t>371 respondents</w:t>
      </w:r>
      <w:r w:rsidR="00421DF8">
        <w:rPr>
          <w:rFonts w:ascii="Arial" w:hAnsi="Arial" w:cs="Arial"/>
        </w:rPr>
        <w:t xml:space="preserve"> on </w:t>
      </w:r>
      <w:r w:rsidR="006B5CA6">
        <w:rPr>
          <w:rFonts w:ascii="Arial" w:hAnsi="Arial" w:cs="Arial"/>
        </w:rPr>
        <w:t>the</w:t>
      </w:r>
      <w:r w:rsidR="00D06A83">
        <w:rPr>
          <w:rFonts w:ascii="Arial" w:hAnsi="Arial" w:cs="Arial"/>
        </w:rPr>
        <w:t xml:space="preserve"> nine variables. </w:t>
      </w:r>
    </w:p>
    <w:p w14:paraId="284E7C5F" w14:textId="65113F8F" w:rsidR="008B38A6" w:rsidRDefault="008B38A6" w:rsidP="004C58CF">
      <w:pPr>
        <w:rPr>
          <w:rFonts w:ascii="Arial" w:hAnsi="Arial" w:cs="Arial"/>
        </w:rPr>
      </w:pPr>
    </w:p>
    <w:p w14:paraId="61C0368D" w14:textId="61DF392C" w:rsidR="00955DF4" w:rsidRPr="00955DF4" w:rsidRDefault="00955DF4" w:rsidP="00955DF4">
      <w:pPr>
        <w:jc w:val="center"/>
        <w:rPr>
          <w:rFonts w:ascii="Arial" w:hAnsi="Arial" w:cs="Arial"/>
          <w:b/>
          <w:bCs/>
        </w:rPr>
      </w:pPr>
      <w:r>
        <w:rPr>
          <w:rFonts w:ascii="Arial" w:hAnsi="Arial" w:cs="Arial"/>
          <w:b/>
          <w:bCs/>
        </w:rPr>
        <w:t>Parallel Analysis</w:t>
      </w:r>
    </w:p>
    <w:p w14:paraId="2DC06596" w14:textId="5E3EED67" w:rsidR="00107F07" w:rsidRDefault="00107F07" w:rsidP="00ED098D">
      <w:pPr>
        <w:rPr>
          <w:rFonts w:ascii="Arial" w:hAnsi="Arial" w:cs="Arial"/>
        </w:rPr>
      </w:pPr>
      <w:r>
        <w:rPr>
          <w:rFonts w:ascii="Arial" w:hAnsi="Arial" w:cs="Arial"/>
        </w:rPr>
        <w:t xml:space="preserve">The syntax for PA is </w:t>
      </w:r>
      <w:r w:rsidR="002429E5">
        <w:rPr>
          <w:rFonts w:ascii="Arial" w:hAnsi="Arial" w:cs="Arial"/>
        </w:rPr>
        <w:t>shown below.</w:t>
      </w:r>
    </w:p>
    <w:p w14:paraId="09496063" w14:textId="4D97BEBC" w:rsidR="00107F07" w:rsidRDefault="00107F07" w:rsidP="00ED098D">
      <w:pPr>
        <w:rPr>
          <w:rFonts w:ascii="Arial" w:hAnsi="Arial" w:cs="Arial"/>
        </w:rPr>
      </w:pPr>
    </w:p>
    <w:p w14:paraId="50D2CC4F" w14:textId="77A9603E" w:rsidR="00107F07" w:rsidRPr="00B67417" w:rsidRDefault="00107F07" w:rsidP="00ED098D">
      <w:pPr>
        <w:rPr>
          <w:rFonts w:ascii="Arial" w:hAnsi="Arial" w:cs="Arial"/>
        </w:rPr>
      </w:pPr>
      <w:r w:rsidRPr="00B67417">
        <w:rPr>
          <w:rFonts w:ascii="Arial" w:hAnsi="Arial" w:cs="Arial"/>
        </w:rPr>
        <w:t xml:space="preserve">You will need to change some things in the syntax to run a PA for your data. I </w:t>
      </w:r>
      <w:r w:rsidR="002429E5" w:rsidRPr="00B67417">
        <w:rPr>
          <w:rFonts w:ascii="Arial" w:hAnsi="Arial" w:cs="Arial"/>
        </w:rPr>
        <w:t xml:space="preserve">explain these below with comments in </w:t>
      </w:r>
      <w:r w:rsidRPr="00B67417">
        <w:rPr>
          <w:rFonts w:ascii="Arial" w:hAnsi="Arial" w:cs="Arial"/>
        </w:rPr>
        <w:t>italics.</w:t>
      </w:r>
    </w:p>
    <w:p w14:paraId="1F161EB0" w14:textId="2EA40BFF" w:rsidR="002429E5" w:rsidRDefault="002429E5" w:rsidP="00ED098D">
      <w:pPr>
        <w:rPr>
          <w:rFonts w:ascii="Arial" w:hAnsi="Arial" w:cs="Arial"/>
          <w:b/>
          <w:bCs/>
        </w:rPr>
      </w:pPr>
    </w:p>
    <w:p w14:paraId="0FE424E1" w14:textId="77777777" w:rsidR="002429E5" w:rsidRPr="002429E5" w:rsidRDefault="002429E5" w:rsidP="002429E5">
      <w:pPr>
        <w:rPr>
          <w:rFonts w:ascii="Arial" w:hAnsi="Arial" w:cs="Arial"/>
          <w:b/>
          <w:bCs/>
        </w:rPr>
      </w:pPr>
      <w:proofErr w:type="spellStart"/>
      <w:r w:rsidRPr="002429E5">
        <w:rPr>
          <w:rFonts w:ascii="Arial" w:hAnsi="Arial" w:cs="Arial"/>
          <w:b/>
          <w:bCs/>
        </w:rPr>
        <w:t>proc</w:t>
      </w:r>
      <w:proofErr w:type="spellEnd"/>
      <w:r w:rsidRPr="002429E5">
        <w:rPr>
          <w:rFonts w:ascii="Arial" w:hAnsi="Arial" w:cs="Arial"/>
          <w:b/>
          <w:bCs/>
        </w:rPr>
        <w:t xml:space="preserve"> </w:t>
      </w:r>
      <w:proofErr w:type="spellStart"/>
      <w:r w:rsidRPr="002429E5">
        <w:rPr>
          <w:rFonts w:ascii="Arial" w:hAnsi="Arial" w:cs="Arial"/>
          <w:b/>
          <w:bCs/>
        </w:rPr>
        <w:t>iml</w:t>
      </w:r>
      <w:proofErr w:type="spellEnd"/>
      <w:r w:rsidRPr="002429E5">
        <w:rPr>
          <w:rFonts w:ascii="Arial" w:hAnsi="Arial" w:cs="Arial"/>
          <w:b/>
          <w:bCs/>
        </w:rPr>
        <w:t>;</w:t>
      </w:r>
    </w:p>
    <w:p w14:paraId="3E677E9D" w14:textId="77777777" w:rsidR="002429E5" w:rsidRPr="002429E5" w:rsidRDefault="002429E5" w:rsidP="002429E5">
      <w:pPr>
        <w:rPr>
          <w:rFonts w:ascii="Arial" w:hAnsi="Arial" w:cs="Arial"/>
          <w:b/>
          <w:bCs/>
        </w:rPr>
      </w:pPr>
      <w:r w:rsidRPr="002429E5">
        <w:rPr>
          <w:rFonts w:ascii="Arial" w:hAnsi="Arial" w:cs="Arial"/>
          <w:b/>
          <w:bCs/>
        </w:rPr>
        <w:t xml:space="preserve">reset </w:t>
      </w:r>
      <w:proofErr w:type="spellStart"/>
      <w:r w:rsidRPr="002429E5">
        <w:rPr>
          <w:rFonts w:ascii="Arial" w:hAnsi="Arial" w:cs="Arial"/>
          <w:b/>
          <w:bCs/>
        </w:rPr>
        <w:t>noname</w:t>
      </w:r>
      <w:proofErr w:type="spellEnd"/>
      <w:r w:rsidRPr="002429E5">
        <w:rPr>
          <w:rFonts w:ascii="Arial" w:hAnsi="Arial" w:cs="Arial"/>
          <w:b/>
          <w:bCs/>
        </w:rPr>
        <w:t xml:space="preserve">; </w:t>
      </w:r>
    </w:p>
    <w:p w14:paraId="7AB22E88" w14:textId="77777777" w:rsidR="002429E5" w:rsidRPr="002429E5" w:rsidRDefault="002429E5" w:rsidP="002429E5">
      <w:pPr>
        <w:rPr>
          <w:rFonts w:ascii="Arial" w:hAnsi="Arial" w:cs="Arial"/>
          <w:b/>
          <w:bCs/>
        </w:rPr>
      </w:pPr>
      <w:r w:rsidRPr="002429E5">
        <w:rPr>
          <w:rFonts w:ascii="Arial" w:hAnsi="Arial" w:cs="Arial"/>
          <w:b/>
          <w:bCs/>
        </w:rPr>
        <w:t xml:space="preserve">options </w:t>
      </w:r>
      <w:proofErr w:type="spellStart"/>
      <w:r w:rsidRPr="002429E5">
        <w:rPr>
          <w:rFonts w:ascii="Arial" w:hAnsi="Arial" w:cs="Arial"/>
          <w:b/>
          <w:bCs/>
        </w:rPr>
        <w:t>nocenter</w:t>
      </w:r>
      <w:proofErr w:type="spellEnd"/>
      <w:r w:rsidRPr="002429E5">
        <w:rPr>
          <w:rFonts w:ascii="Arial" w:hAnsi="Arial" w:cs="Arial"/>
          <w:b/>
          <w:bCs/>
        </w:rPr>
        <w:t xml:space="preserve"> </w:t>
      </w:r>
      <w:proofErr w:type="spellStart"/>
      <w:r w:rsidRPr="002429E5">
        <w:rPr>
          <w:rFonts w:ascii="Arial" w:hAnsi="Arial" w:cs="Arial"/>
          <w:b/>
          <w:bCs/>
        </w:rPr>
        <w:t>nodate</w:t>
      </w:r>
      <w:proofErr w:type="spellEnd"/>
      <w:r w:rsidRPr="002429E5">
        <w:rPr>
          <w:rFonts w:ascii="Arial" w:hAnsi="Arial" w:cs="Arial"/>
          <w:b/>
          <w:bCs/>
        </w:rPr>
        <w:t xml:space="preserve"> </w:t>
      </w:r>
      <w:proofErr w:type="spellStart"/>
      <w:r w:rsidRPr="002429E5">
        <w:rPr>
          <w:rFonts w:ascii="Arial" w:hAnsi="Arial" w:cs="Arial"/>
          <w:b/>
          <w:bCs/>
        </w:rPr>
        <w:t>nonumber</w:t>
      </w:r>
      <w:proofErr w:type="spellEnd"/>
      <w:r w:rsidRPr="002429E5">
        <w:rPr>
          <w:rFonts w:ascii="Arial" w:hAnsi="Arial" w:cs="Arial"/>
          <w:b/>
          <w:bCs/>
        </w:rPr>
        <w:t xml:space="preserve">  </w:t>
      </w:r>
      <w:proofErr w:type="spellStart"/>
      <w:r w:rsidRPr="002429E5">
        <w:rPr>
          <w:rFonts w:ascii="Arial" w:hAnsi="Arial" w:cs="Arial"/>
          <w:b/>
          <w:bCs/>
        </w:rPr>
        <w:t>linesize</w:t>
      </w:r>
      <w:proofErr w:type="spellEnd"/>
      <w:r w:rsidRPr="002429E5">
        <w:rPr>
          <w:rFonts w:ascii="Arial" w:hAnsi="Arial" w:cs="Arial"/>
          <w:b/>
          <w:bCs/>
        </w:rPr>
        <w:t xml:space="preserve">=100 </w:t>
      </w:r>
      <w:proofErr w:type="spellStart"/>
      <w:r w:rsidRPr="002429E5">
        <w:rPr>
          <w:rFonts w:ascii="Arial" w:hAnsi="Arial" w:cs="Arial"/>
          <w:b/>
          <w:bCs/>
        </w:rPr>
        <w:t>pagesize</w:t>
      </w:r>
      <w:proofErr w:type="spellEnd"/>
      <w:r w:rsidRPr="002429E5">
        <w:rPr>
          <w:rFonts w:ascii="Arial" w:hAnsi="Arial" w:cs="Arial"/>
          <w:b/>
          <w:bCs/>
        </w:rPr>
        <w:t>=500;  title;</w:t>
      </w:r>
    </w:p>
    <w:p w14:paraId="20AFFFA2" w14:textId="77777777" w:rsidR="002429E5" w:rsidRPr="002429E5" w:rsidRDefault="002429E5" w:rsidP="002429E5">
      <w:pPr>
        <w:rPr>
          <w:rFonts w:ascii="Arial" w:hAnsi="Arial" w:cs="Arial"/>
          <w:b/>
          <w:bCs/>
        </w:rPr>
      </w:pPr>
    </w:p>
    <w:p w14:paraId="1AEEB6CE" w14:textId="77777777" w:rsidR="002429E5" w:rsidRPr="002429E5" w:rsidRDefault="002429E5" w:rsidP="002429E5">
      <w:pPr>
        <w:rPr>
          <w:rFonts w:ascii="Arial" w:hAnsi="Arial" w:cs="Arial"/>
          <w:b/>
          <w:bCs/>
        </w:rPr>
      </w:pPr>
      <w:r w:rsidRPr="002429E5">
        <w:rPr>
          <w:rFonts w:ascii="Arial" w:hAnsi="Arial" w:cs="Arial"/>
          <w:b/>
          <w:bCs/>
        </w:rPr>
        <w:t xml:space="preserve">use </w:t>
      </w:r>
      <w:proofErr w:type="spellStart"/>
      <w:r w:rsidRPr="00421DF8">
        <w:rPr>
          <w:rFonts w:ascii="Arial" w:hAnsi="Arial" w:cs="Arial"/>
        </w:rPr>
        <w:t>Scientist_nomiss</w:t>
      </w:r>
      <w:proofErr w:type="spellEnd"/>
      <w:r w:rsidRPr="002429E5">
        <w:rPr>
          <w:rFonts w:ascii="Arial" w:hAnsi="Arial" w:cs="Arial"/>
          <w:b/>
          <w:bCs/>
        </w:rPr>
        <w:t>;</w:t>
      </w:r>
    </w:p>
    <w:p w14:paraId="2085BAA8" w14:textId="3B8EF148" w:rsidR="002429E5" w:rsidRPr="002429E5" w:rsidRDefault="002429E5" w:rsidP="002429E5">
      <w:pPr>
        <w:rPr>
          <w:rFonts w:ascii="Arial" w:hAnsi="Arial" w:cs="Arial"/>
          <w:b/>
          <w:bCs/>
        </w:rPr>
      </w:pPr>
      <w:r w:rsidRPr="002429E5">
        <w:rPr>
          <w:rFonts w:ascii="Arial" w:hAnsi="Arial" w:cs="Arial"/>
          <w:b/>
          <w:bCs/>
        </w:rPr>
        <w:t>read all var {</w:t>
      </w:r>
      <w:r w:rsidRPr="00421DF8">
        <w:rPr>
          <w:rFonts w:ascii="Arial" w:hAnsi="Arial" w:cs="Arial"/>
        </w:rPr>
        <w:t xml:space="preserve">alone better boring </w:t>
      </w:r>
      <w:proofErr w:type="spellStart"/>
      <w:r w:rsidRPr="00421DF8">
        <w:rPr>
          <w:rFonts w:ascii="Arial" w:hAnsi="Arial" w:cs="Arial"/>
        </w:rPr>
        <w:t>nofun</w:t>
      </w:r>
      <w:proofErr w:type="spellEnd"/>
      <w:r w:rsidRPr="00421DF8">
        <w:rPr>
          <w:rFonts w:ascii="Arial" w:hAnsi="Arial" w:cs="Arial"/>
        </w:rPr>
        <w:t xml:space="preserve"> good help odd </w:t>
      </w:r>
      <w:proofErr w:type="spellStart"/>
      <w:r w:rsidRPr="00421DF8">
        <w:rPr>
          <w:rFonts w:ascii="Arial" w:hAnsi="Arial" w:cs="Arial"/>
        </w:rPr>
        <w:t>norelign</w:t>
      </w:r>
      <w:proofErr w:type="spellEnd"/>
      <w:r w:rsidRPr="00421DF8">
        <w:rPr>
          <w:rFonts w:ascii="Arial" w:hAnsi="Arial" w:cs="Arial"/>
        </w:rPr>
        <w:t xml:space="preserve"> </w:t>
      </w:r>
      <w:proofErr w:type="spellStart"/>
      <w:r w:rsidRPr="00421DF8">
        <w:rPr>
          <w:rFonts w:ascii="Arial" w:hAnsi="Arial" w:cs="Arial"/>
        </w:rPr>
        <w:t>nointrst</w:t>
      </w:r>
      <w:proofErr w:type="spellEnd"/>
      <w:r w:rsidRPr="002429E5">
        <w:rPr>
          <w:rFonts w:ascii="Arial" w:hAnsi="Arial" w:cs="Arial"/>
          <w:b/>
          <w:bCs/>
        </w:rPr>
        <w:t>} into raw;</w:t>
      </w:r>
    </w:p>
    <w:p w14:paraId="6ADAEFAF" w14:textId="5786421E" w:rsidR="002429E5" w:rsidRDefault="002429E5" w:rsidP="002429E5">
      <w:pPr>
        <w:rPr>
          <w:rFonts w:ascii="Arial" w:hAnsi="Arial" w:cs="Arial"/>
          <w:b/>
          <w:bCs/>
        </w:rPr>
      </w:pPr>
    </w:p>
    <w:p w14:paraId="733443AE" w14:textId="6D1E3973" w:rsidR="002429E5" w:rsidRPr="00421DF8" w:rsidRDefault="002429E5" w:rsidP="002429E5">
      <w:pPr>
        <w:rPr>
          <w:rFonts w:ascii="Arial" w:hAnsi="Arial" w:cs="Arial"/>
        </w:rPr>
      </w:pPr>
      <w:r w:rsidRPr="00421DF8">
        <w:rPr>
          <w:rFonts w:ascii="Arial" w:hAnsi="Arial" w:cs="Arial"/>
        </w:rPr>
        <w:t xml:space="preserve">The </w:t>
      </w:r>
      <w:r w:rsidRPr="00421DF8">
        <w:rPr>
          <w:rFonts w:ascii="Arial" w:hAnsi="Arial" w:cs="Arial"/>
          <w:b/>
          <w:bCs/>
        </w:rPr>
        <w:t>use</w:t>
      </w:r>
      <w:r w:rsidRPr="00421DF8">
        <w:rPr>
          <w:rFonts w:ascii="Arial" w:hAnsi="Arial" w:cs="Arial"/>
        </w:rPr>
        <w:t xml:space="preserve"> and </w:t>
      </w:r>
      <w:r w:rsidRPr="00421DF8">
        <w:rPr>
          <w:rFonts w:ascii="Arial" w:hAnsi="Arial" w:cs="Arial"/>
          <w:b/>
          <w:bCs/>
        </w:rPr>
        <w:t>read</w:t>
      </w:r>
      <w:r w:rsidRPr="00421DF8">
        <w:rPr>
          <w:rFonts w:ascii="Arial" w:hAnsi="Arial" w:cs="Arial"/>
        </w:rPr>
        <w:t xml:space="preserve"> commands above should specify a data set available in the “work” library. In the </w:t>
      </w:r>
      <w:r w:rsidRPr="00421DF8">
        <w:rPr>
          <w:rFonts w:ascii="Arial" w:hAnsi="Arial" w:cs="Arial"/>
          <w:b/>
          <w:bCs/>
        </w:rPr>
        <w:t>read</w:t>
      </w:r>
      <w:r w:rsidRPr="00421DF8">
        <w:rPr>
          <w:rFonts w:ascii="Arial" w:hAnsi="Arial" w:cs="Arial"/>
        </w:rPr>
        <w:t xml:space="preserve"> command, list the variables to be used in the factor analysis</w:t>
      </w:r>
      <w:r w:rsidR="00421DF8">
        <w:rPr>
          <w:rFonts w:ascii="Arial" w:hAnsi="Arial" w:cs="Arial"/>
        </w:rPr>
        <w:t xml:space="preserve"> within the braces</w:t>
      </w:r>
    </w:p>
    <w:p w14:paraId="4A69C439" w14:textId="77777777" w:rsidR="002429E5" w:rsidRDefault="002429E5" w:rsidP="002429E5">
      <w:pPr>
        <w:rPr>
          <w:rFonts w:ascii="Arial" w:hAnsi="Arial" w:cs="Arial"/>
          <w:b/>
          <w:bCs/>
          <w:i/>
          <w:iCs/>
        </w:rPr>
      </w:pPr>
    </w:p>
    <w:p w14:paraId="54A34A92" w14:textId="186025BB" w:rsidR="002429E5" w:rsidRPr="00421DF8" w:rsidRDefault="002429E5" w:rsidP="002429E5">
      <w:pPr>
        <w:rPr>
          <w:rFonts w:ascii="Arial" w:hAnsi="Arial" w:cs="Arial"/>
        </w:rPr>
      </w:pPr>
      <w:r w:rsidRPr="00421DF8">
        <w:rPr>
          <w:rFonts w:ascii="Arial" w:hAnsi="Arial" w:cs="Arial"/>
        </w:rPr>
        <w:t xml:space="preserve"> The data set into which the data is read must be called “raw” as shown at the end of the read statement. </w:t>
      </w:r>
    </w:p>
    <w:p w14:paraId="0508CC0F" w14:textId="3D890AE1" w:rsidR="002429E5" w:rsidRDefault="002429E5" w:rsidP="002429E5">
      <w:pPr>
        <w:rPr>
          <w:rFonts w:ascii="Arial" w:hAnsi="Arial" w:cs="Arial"/>
          <w:b/>
          <w:bCs/>
          <w:i/>
          <w:iCs/>
        </w:rPr>
      </w:pPr>
    </w:p>
    <w:p w14:paraId="4D7332C1" w14:textId="3FD81C8C" w:rsidR="002429E5" w:rsidRPr="00421DF8" w:rsidRDefault="002429E5" w:rsidP="002429E5">
      <w:pPr>
        <w:rPr>
          <w:rFonts w:ascii="Arial" w:hAnsi="Arial" w:cs="Arial"/>
        </w:rPr>
      </w:pPr>
      <w:r w:rsidRPr="00421DF8">
        <w:rPr>
          <w:rFonts w:ascii="Arial" w:hAnsi="Arial" w:cs="Arial"/>
        </w:rPr>
        <w:t>The</w:t>
      </w:r>
      <w:r w:rsidR="005915B1" w:rsidRPr="00421DF8">
        <w:rPr>
          <w:rFonts w:ascii="Arial" w:hAnsi="Arial" w:cs="Arial"/>
        </w:rPr>
        <w:t xml:space="preserve"> typical number of data sets for PA is 100, but you can change this by typing in another number after the equals sign below.</w:t>
      </w:r>
    </w:p>
    <w:p w14:paraId="4FA36FA5" w14:textId="77777777" w:rsidR="005915B1" w:rsidRPr="002429E5" w:rsidRDefault="005915B1" w:rsidP="002429E5">
      <w:pPr>
        <w:rPr>
          <w:rFonts w:ascii="Arial" w:hAnsi="Arial" w:cs="Arial"/>
          <w:b/>
          <w:bCs/>
          <w:i/>
          <w:iCs/>
        </w:rPr>
      </w:pPr>
    </w:p>
    <w:p w14:paraId="6C29FE63" w14:textId="77777777" w:rsidR="002429E5" w:rsidRPr="002429E5" w:rsidRDefault="002429E5" w:rsidP="002429E5">
      <w:pPr>
        <w:rPr>
          <w:rFonts w:ascii="Arial" w:hAnsi="Arial" w:cs="Arial"/>
          <w:b/>
          <w:bCs/>
        </w:rPr>
      </w:pPr>
      <w:r w:rsidRPr="002429E5">
        <w:rPr>
          <w:rFonts w:ascii="Arial" w:hAnsi="Arial" w:cs="Arial"/>
          <w:b/>
          <w:bCs/>
        </w:rPr>
        <w:t>/* Enter the desired number of parallel data sets here */</w:t>
      </w:r>
    </w:p>
    <w:p w14:paraId="221118DF" w14:textId="4BFEFC82" w:rsidR="002429E5" w:rsidRDefault="002429E5" w:rsidP="002429E5">
      <w:pPr>
        <w:rPr>
          <w:rFonts w:ascii="Arial" w:hAnsi="Arial" w:cs="Arial"/>
          <w:b/>
          <w:bCs/>
        </w:rPr>
      </w:pPr>
      <w:proofErr w:type="spellStart"/>
      <w:r w:rsidRPr="002429E5">
        <w:rPr>
          <w:rFonts w:ascii="Arial" w:hAnsi="Arial" w:cs="Arial"/>
          <w:b/>
          <w:bCs/>
        </w:rPr>
        <w:t>ndatsets</w:t>
      </w:r>
      <w:proofErr w:type="spellEnd"/>
      <w:r w:rsidRPr="002429E5">
        <w:rPr>
          <w:rFonts w:ascii="Arial" w:hAnsi="Arial" w:cs="Arial"/>
          <w:b/>
          <w:bCs/>
        </w:rPr>
        <w:t xml:space="preserve"> = </w:t>
      </w:r>
      <w:r w:rsidRPr="00421DF8">
        <w:rPr>
          <w:rFonts w:ascii="Arial" w:hAnsi="Arial" w:cs="Arial"/>
        </w:rPr>
        <w:t>100</w:t>
      </w:r>
      <w:r w:rsidRPr="002429E5">
        <w:rPr>
          <w:rFonts w:ascii="Arial" w:hAnsi="Arial" w:cs="Arial"/>
          <w:b/>
          <w:bCs/>
        </w:rPr>
        <w:t>;</w:t>
      </w:r>
    </w:p>
    <w:p w14:paraId="1029F2D4" w14:textId="34555C33" w:rsidR="005915B1" w:rsidRDefault="005915B1" w:rsidP="002429E5">
      <w:pPr>
        <w:rPr>
          <w:rFonts w:ascii="Arial" w:hAnsi="Arial" w:cs="Arial"/>
          <w:b/>
          <w:bCs/>
        </w:rPr>
      </w:pPr>
    </w:p>
    <w:p w14:paraId="49BED84F" w14:textId="63E96CF2" w:rsidR="005915B1" w:rsidRPr="00421DF8" w:rsidRDefault="005915B1" w:rsidP="005915B1">
      <w:pPr>
        <w:pStyle w:val="ListParagraph"/>
        <w:ind w:left="0"/>
        <w:rPr>
          <w:rFonts w:ascii="Arial" w:hAnsi="Arial" w:cs="Arial"/>
        </w:rPr>
      </w:pPr>
      <w:r w:rsidRPr="00421DF8">
        <w:rPr>
          <w:rFonts w:ascii="Arial" w:hAnsi="Arial" w:cs="Arial"/>
        </w:rPr>
        <w:t>The 95</w:t>
      </w:r>
      <w:r w:rsidRPr="00421DF8">
        <w:rPr>
          <w:rFonts w:ascii="Arial" w:hAnsi="Arial" w:cs="Arial"/>
          <w:vertAlign w:val="superscript"/>
        </w:rPr>
        <w:t>th</w:t>
      </w:r>
      <w:r w:rsidRPr="00421DF8">
        <w:rPr>
          <w:rFonts w:ascii="Arial" w:hAnsi="Arial" w:cs="Arial"/>
        </w:rPr>
        <w:t xml:space="preserve"> percentile of the random data eigenvalues is typically used as the value to which the real data eigenvalues are compared. This can be changed in the </w:t>
      </w:r>
      <w:r w:rsidRPr="00421DF8">
        <w:rPr>
          <w:rFonts w:ascii="Arial" w:hAnsi="Arial" w:cs="Arial"/>
          <w:b/>
          <w:bCs/>
        </w:rPr>
        <w:t>percent =</w:t>
      </w:r>
      <w:r w:rsidRPr="00421DF8">
        <w:rPr>
          <w:rFonts w:ascii="Arial" w:hAnsi="Arial" w:cs="Arial"/>
        </w:rPr>
        <w:t xml:space="preserve"> specification below.</w:t>
      </w:r>
    </w:p>
    <w:p w14:paraId="04F3F510" w14:textId="77777777" w:rsidR="002429E5" w:rsidRPr="002429E5" w:rsidRDefault="002429E5" w:rsidP="002429E5">
      <w:pPr>
        <w:rPr>
          <w:rFonts w:ascii="Arial" w:hAnsi="Arial" w:cs="Arial"/>
          <w:b/>
          <w:bCs/>
        </w:rPr>
      </w:pPr>
    </w:p>
    <w:p w14:paraId="1E0D1652" w14:textId="77777777" w:rsidR="002429E5" w:rsidRPr="002429E5" w:rsidRDefault="002429E5" w:rsidP="002429E5">
      <w:pPr>
        <w:rPr>
          <w:rFonts w:ascii="Arial" w:hAnsi="Arial" w:cs="Arial"/>
          <w:b/>
          <w:bCs/>
        </w:rPr>
      </w:pPr>
      <w:r w:rsidRPr="002429E5">
        <w:rPr>
          <w:rFonts w:ascii="Arial" w:hAnsi="Arial" w:cs="Arial"/>
          <w:b/>
          <w:bCs/>
        </w:rPr>
        <w:t>/* Enter the desired percentile here */</w:t>
      </w:r>
    </w:p>
    <w:p w14:paraId="771E0168" w14:textId="75CB1E69" w:rsidR="002429E5" w:rsidRDefault="002429E5" w:rsidP="002429E5">
      <w:pPr>
        <w:rPr>
          <w:rFonts w:ascii="Arial" w:hAnsi="Arial" w:cs="Arial"/>
          <w:b/>
          <w:bCs/>
        </w:rPr>
      </w:pPr>
      <w:r w:rsidRPr="002429E5">
        <w:rPr>
          <w:rFonts w:ascii="Arial" w:hAnsi="Arial" w:cs="Arial"/>
          <w:b/>
          <w:bCs/>
        </w:rPr>
        <w:lastRenderedPageBreak/>
        <w:t xml:space="preserve">percent  = </w:t>
      </w:r>
      <w:r w:rsidRPr="00421DF8">
        <w:rPr>
          <w:rFonts w:ascii="Arial" w:hAnsi="Arial" w:cs="Arial"/>
        </w:rPr>
        <w:t>95</w:t>
      </w:r>
      <w:r w:rsidRPr="002429E5">
        <w:rPr>
          <w:rFonts w:ascii="Arial" w:hAnsi="Arial" w:cs="Arial"/>
          <w:b/>
          <w:bCs/>
        </w:rPr>
        <w:t>;</w:t>
      </w:r>
    </w:p>
    <w:p w14:paraId="0C5A9863" w14:textId="77777777" w:rsidR="00421DF8" w:rsidRPr="002429E5" w:rsidRDefault="00421DF8" w:rsidP="002429E5">
      <w:pPr>
        <w:rPr>
          <w:rFonts w:ascii="Arial" w:hAnsi="Arial" w:cs="Arial"/>
          <w:b/>
          <w:bCs/>
        </w:rPr>
      </w:pPr>
    </w:p>
    <w:p w14:paraId="5528E6C5" w14:textId="1756D253" w:rsidR="002429E5" w:rsidRPr="00421DF8" w:rsidRDefault="00421DF8" w:rsidP="002429E5">
      <w:pPr>
        <w:rPr>
          <w:rFonts w:ascii="Arial" w:hAnsi="Arial" w:cs="Arial"/>
        </w:rPr>
      </w:pPr>
      <w:r>
        <w:rPr>
          <w:rFonts w:ascii="Arial" w:hAnsi="Arial" w:cs="Arial"/>
        </w:rPr>
        <w:t>In the commands below</w:t>
      </w:r>
      <w:r w:rsidR="00D82FC2" w:rsidRPr="00421DF8">
        <w:rPr>
          <w:rFonts w:ascii="Arial" w:hAnsi="Arial" w:cs="Arial"/>
        </w:rPr>
        <w:t xml:space="preserve"> you can specify whether your analysis will be a principal component (1) or factor analysis (2). Type in the appropriate number after the </w:t>
      </w:r>
      <w:r w:rsidR="00D82FC2" w:rsidRPr="00421DF8">
        <w:rPr>
          <w:rFonts w:ascii="Arial" w:hAnsi="Arial" w:cs="Arial"/>
          <w:b/>
          <w:bCs/>
        </w:rPr>
        <w:t>kind =</w:t>
      </w:r>
      <w:r>
        <w:rPr>
          <w:rFonts w:ascii="Arial" w:hAnsi="Arial" w:cs="Arial"/>
        </w:rPr>
        <w:t xml:space="preserve"> </w:t>
      </w:r>
      <w:r w:rsidR="00D82FC2" w:rsidRPr="00421DF8">
        <w:rPr>
          <w:rFonts w:ascii="Arial" w:hAnsi="Arial" w:cs="Arial"/>
        </w:rPr>
        <w:t>specification.</w:t>
      </w:r>
    </w:p>
    <w:p w14:paraId="7035522F" w14:textId="77777777" w:rsidR="00D82FC2" w:rsidRPr="002429E5" w:rsidRDefault="00D82FC2" w:rsidP="002429E5">
      <w:pPr>
        <w:rPr>
          <w:rFonts w:ascii="Arial" w:hAnsi="Arial" w:cs="Arial"/>
          <w:b/>
          <w:bCs/>
        </w:rPr>
      </w:pPr>
    </w:p>
    <w:p w14:paraId="1D29F44D" w14:textId="698CD5C4" w:rsidR="002429E5" w:rsidRPr="002429E5" w:rsidRDefault="002429E5" w:rsidP="002429E5">
      <w:pPr>
        <w:rPr>
          <w:rFonts w:ascii="Arial" w:hAnsi="Arial" w:cs="Arial"/>
          <w:b/>
          <w:bCs/>
        </w:rPr>
      </w:pPr>
      <w:r w:rsidRPr="002429E5">
        <w:rPr>
          <w:rFonts w:ascii="Arial" w:hAnsi="Arial" w:cs="Arial"/>
          <w:b/>
          <w:bCs/>
        </w:rPr>
        <w:t>/* Specify the desired kind of par</w:t>
      </w:r>
      <w:r w:rsidR="00421DF8">
        <w:rPr>
          <w:rFonts w:ascii="Arial" w:hAnsi="Arial" w:cs="Arial"/>
          <w:b/>
          <w:bCs/>
        </w:rPr>
        <w:t>a</w:t>
      </w:r>
      <w:r w:rsidRPr="002429E5">
        <w:rPr>
          <w:rFonts w:ascii="Arial" w:hAnsi="Arial" w:cs="Arial"/>
          <w:b/>
          <w:bCs/>
        </w:rPr>
        <w:t>llel analysis, where:</w:t>
      </w:r>
    </w:p>
    <w:p w14:paraId="6D8DF48D" w14:textId="77777777" w:rsidR="002429E5" w:rsidRPr="002429E5" w:rsidRDefault="002429E5" w:rsidP="002429E5">
      <w:pPr>
        <w:rPr>
          <w:rFonts w:ascii="Arial" w:hAnsi="Arial" w:cs="Arial"/>
          <w:b/>
          <w:bCs/>
        </w:rPr>
      </w:pPr>
      <w:r w:rsidRPr="002429E5">
        <w:rPr>
          <w:rFonts w:ascii="Arial" w:hAnsi="Arial" w:cs="Arial"/>
          <w:b/>
          <w:bCs/>
        </w:rPr>
        <w:t xml:space="preserve">   1 = principal components analysis</w:t>
      </w:r>
    </w:p>
    <w:p w14:paraId="79EBC978" w14:textId="5AF1BD42" w:rsidR="002429E5" w:rsidRDefault="002429E5" w:rsidP="002429E5">
      <w:pPr>
        <w:rPr>
          <w:rFonts w:ascii="Arial" w:hAnsi="Arial" w:cs="Arial"/>
          <w:b/>
          <w:bCs/>
        </w:rPr>
      </w:pPr>
      <w:r w:rsidRPr="002429E5">
        <w:rPr>
          <w:rFonts w:ascii="Arial" w:hAnsi="Arial" w:cs="Arial"/>
          <w:b/>
          <w:bCs/>
        </w:rPr>
        <w:t xml:space="preserve">   2 = principal axis/common factor analysis */</w:t>
      </w:r>
    </w:p>
    <w:p w14:paraId="06F66CE3" w14:textId="77777777" w:rsidR="00421DF8" w:rsidRPr="002429E5" w:rsidRDefault="00421DF8" w:rsidP="002429E5">
      <w:pPr>
        <w:rPr>
          <w:rFonts w:ascii="Arial" w:hAnsi="Arial" w:cs="Arial"/>
          <w:b/>
          <w:bCs/>
        </w:rPr>
      </w:pPr>
    </w:p>
    <w:p w14:paraId="659CF15C" w14:textId="77777777" w:rsidR="002429E5" w:rsidRPr="002429E5" w:rsidRDefault="002429E5" w:rsidP="002429E5">
      <w:pPr>
        <w:rPr>
          <w:rFonts w:ascii="Arial" w:hAnsi="Arial" w:cs="Arial"/>
          <w:b/>
          <w:bCs/>
        </w:rPr>
      </w:pPr>
      <w:r w:rsidRPr="002429E5">
        <w:rPr>
          <w:rFonts w:ascii="Arial" w:hAnsi="Arial" w:cs="Arial"/>
          <w:b/>
          <w:bCs/>
        </w:rPr>
        <w:t xml:space="preserve">kind = </w:t>
      </w:r>
      <w:r w:rsidRPr="00421DF8">
        <w:rPr>
          <w:rFonts w:ascii="Arial" w:hAnsi="Arial" w:cs="Arial"/>
        </w:rPr>
        <w:t xml:space="preserve">2 </w:t>
      </w:r>
      <w:r w:rsidRPr="002429E5">
        <w:rPr>
          <w:rFonts w:ascii="Arial" w:hAnsi="Arial" w:cs="Arial"/>
          <w:b/>
          <w:bCs/>
        </w:rPr>
        <w:t>;</w:t>
      </w:r>
    </w:p>
    <w:p w14:paraId="50E43E7F" w14:textId="0012C2C9" w:rsidR="002429E5" w:rsidRDefault="002429E5" w:rsidP="002429E5">
      <w:pPr>
        <w:rPr>
          <w:rFonts w:ascii="Arial" w:hAnsi="Arial" w:cs="Arial"/>
          <w:b/>
          <w:bCs/>
        </w:rPr>
      </w:pPr>
    </w:p>
    <w:p w14:paraId="7CD99E45" w14:textId="0EB8E61C" w:rsidR="001613A7" w:rsidRPr="001613A7" w:rsidRDefault="001613A7" w:rsidP="001613A7">
      <w:pPr>
        <w:rPr>
          <w:rFonts w:ascii="Arial" w:hAnsi="Arial" w:cs="Arial"/>
          <w:b/>
          <w:bCs/>
          <w:i/>
          <w:iCs/>
        </w:rPr>
      </w:pPr>
      <w:r w:rsidRPr="00421DF8">
        <w:rPr>
          <w:rFonts w:ascii="Arial" w:hAnsi="Arial" w:cs="Arial"/>
        </w:rPr>
        <w:t xml:space="preserve">The </w:t>
      </w:r>
      <w:proofErr w:type="spellStart"/>
      <w:r w:rsidRPr="00421DF8">
        <w:rPr>
          <w:rFonts w:ascii="Arial" w:hAnsi="Arial" w:cs="Arial"/>
          <w:b/>
          <w:bCs/>
        </w:rPr>
        <w:t>randtype</w:t>
      </w:r>
      <w:proofErr w:type="spellEnd"/>
      <w:r w:rsidRPr="00421DF8">
        <w:rPr>
          <w:rFonts w:ascii="Arial" w:hAnsi="Arial" w:cs="Arial"/>
        </w:rPr>
        <w:t xml:space="preserve"> statement below allows you to choose whether the random data eigenvalues should be based on random data from a normal distribution (1) or random permutations of your data set (2). Unless your data are normally distributed, it is best to choose option 2.</w:t>
      </w:r>
    </w:p>
    <w:p w14:paraId="6AC75A21" w14:textId="77777777" w:rsidR="001613A7" w:rsidRPr="002429E5" w:rsidRDefault="001613A7" w:rsidP="002429E5">
      <w:pPr>
        <w:rPr>
          <w:rFonts w:ascii="Arial" w:hAnsi="Arial" w:cs="Arial"/>
          <w:b/>
          <w:bCs/>
        </w:rPr>
      </w:pPr>
    </w:p>
    <w:p w14:paraId="5F3E7370" w14:textId="057DC93A" w:rsidR="002429E5" w:rsidRPr="002429E5" w:rsidRDefault="00B67417" w:rsidP="002429E5">
      <w:pPr>
        <w:rPr>
          <w:rFonts w:ascii="Arial" w:hAnsi="Arial" w:cs="Arial"/>
          <w:b/>
          <w:bCs/>
        </w:rPr>
      </w:pPr>
      <w:r>
        <w:rPr>
          <w:rFonts w:ascii="Arial" w:hAnsi="Arial" w:cs="Arial"/>
          <w:b/>
          <w:bCs/>
        </w:rPr>
        <w:t xml:space="preserve">/* </w:t>
      </w:r>
      <w:r w:rsidR="002429E5" w:rsidRPr="002429E5">
        <w:rPr>
          <w:rFonts w:ascii="Arial" w:hAnsi="Arial" w:cs="Arial"/>
          <w:b/>
          <w:bCs/>
        </w:rPr>
        <w:t>Enter either</w:t>
      </w:r>
    </w:p>
    <w:p w14:paraId="79DF7FB4" w14:textId="77777777" w:rsidR="002429E5" w:rsidRPr="002429E5" w:rsidRDefault="002429E5" w:rsidP="002429E5">
      <w:pPr>
        <w:rPr>
          <w:rFonts w:ascii="Arial" w:hAnsi="Arial" w:cs="Arial"/>
          <w:b/>
          <w:bCs/>
        </w:rPr>
      </w:pPr>
      <w:r w:rsidRPr="002429E5">
        <w:rPr>
          <w:rFonts w:ascii="Arial" w:hAnsi="Arial" w:cs="Arial"/>
          <w:b/>
          <w:bCs/>
        </w:rPr>
        <w:t xml:space="preserve">  1 for normally distributed random data generation parallel analysis, or</w:t>
      </w:r>
    </w:p>
    <w:p w14:paraId="0E330B70" w14:textId="0D056D76" w:rsidR="002429E5" w:rsidRDefault="002429E5" w:rsidP="002429E5">
      <w:pPr>
        <w:rPr>
          <w:rFonts w:ascii="Arial" w:hAnsi="Arial" w:cs="Arial"/>
          <w:b/>
          <w:bCs/>
        </w:rPr>
      </w:pPr>
      <w:r w:rsidRPr="002429E5">
        <w:rPr>
          <w:rFonts w:ascii="Arial" w:hAnsi="Arial" w:cs="Arial"/>
          <w:b/>
          <w:bCs/>
        </w:rPr>
        <w:t xml:space="preserve">  2 for permutations of the raw data set */</w:t>
      </w:r>
    </w:p>
    <w:p w14:paraId="244510C6" w14:textId="77777777" w:rsidR="00421DF8" w:rsidRPr="002429E5" w:rsidRDefault="00421DF8" w:rsidP="002429E5">
      <w:pPr>
        <w:rPr>
          <w:rFonts w:ascii="Arial" w:hAnsi="Arial" w:cs="Arial"/>
          <w:b/>
          <w:bCs/>
        </w:rPr>
      </w:pPr>
    </w:p>
    <w:p w14:paraId="574A82A8" w14:textId="08A14BA8" w:rsidR="002429E5" w:rsidRDefault="002429E5" w:rsidP="002429E5">
      <w:pPr>
        <w:rPr>
          <w:rFonts w:ascii="Arial" w:hAnsi="Arial" w:cs="Arial"/>
          <w:b/>
          <w:bCs/>
        </w:rPr>
      </w:pPr>
      <w:proofErr w:type="spellStart"/>
      <w:r w:rsidRPr="002429E5">
        <w:rPr>
          <w:rFonts w:ascii="Arial" w:hAnsi="Arial" w:cs="Arial"/>
          <w:b/>
          <w:bCs/>
        </w:rPr>
        <w:t>randtype</w:t>
      </w:r>
      <w:proofErr w:type="spellEnd"/>
      <w:r w:rsidRPr="002429E5">
        <w:rPr>
          <w:rFonts w:ascii="Arial" w:hAnsi="Arial" w:cs="Arial"/>
          <w:b/>
          <w:bCs/>
        </w:rPr>
        <w:t xml:space="preserve"> = </w:t>
      </w:r>
      <w:r w:rsidRPr="00421DF8">
        <w:rPr>
          <w:rFonts w:ascii="Arial" w:hAnsi="Arial" w:cs="Arial"/>
        </w:rPr>
        <w:t>2</w:t>
      </w:r>
      <w:r w:rsidRPr="002429E5">
        <w:rPr>
          <w:rFonts w:ascii="Arial" w:hAnsi="Arial" w:cs="Arial"/>
          <w:b/>
          <w:bCs/>
        </w:rPr>
        <w:t>;</w:t>
      </w:r>
    </w:p>
    <w:p w14:paraId="046D13C8" w14:textId="679C9D05" w:rsidR="001613A7" w:rsidRDefault="001613A7" w:rsidP="002429E5">
      <w:pPr>
        <w:rPr>
          <w:rFonts w:ascii="Arial" w:hAnsi="Arial" w:cs="Arial"/>
          <w:b/>
          <w:bCs/>
        </w:rPr>
      </w:pPr>
    </w:p>
    <w:p w14:paraId="7E40BFF3" w14:textId="48A502BD" w:rsidR="001613A7" w:rsidRPr="00421DF8" w:rsidRDefault="001613A7" w:rsidP="002429E5">
      <w:pPr>
        <w:rPr>
          <w:rFonts w:ascii="Arial" w:hAnsi="Arial" w:cs="Arial"/>
        </w:rPr>
      </w:pPr>
      <w:r w:rsidRPr="00421DF8">
        <w:rPr>
          <w:rFonts w:ascii="Arial" w:hAnsi="Arial" w:cs="Arial"/>
        </w:rPr>
        <w:t xml:space="preserve">Finally, the </w:t>
      </w:r>
      <w:r w:rsidRPr="00421DF8">
        <w:rPr>
          <w:rFonts w:ascii="Arial" w:hAnsi="Arial" w:cs="Arial"/>
          <w:b/>
          <w:bCs/>
        </w:rPr>
        <w:t>seed</w:t>
      </w:r>
      <w:r w:rsidRPr="00421DF8">
        <w:rPr>
          <w:rFonts w:ascii="Arial" w:hAnsi="Arial" w:cs="Arial"/>
        </w:rPr>
        <w:t xml:space="preserve"> statement can be changed in the statement below. Using a seed value of 0 will result in randomly different results each time the program is run. If you anticipate a need to rerun the program </w:t>
      </w:r>
      <w:r w:rsidR="00421DF8">
        <w:rPr>
          <w:rFonts w:ascii="Arial" w:hAnsi="Arial" w:cs="Arial"/>
        </w:rPr>
        <w:t xml:space="preserve">and want to obtain identical results, </w:t>
      </w:r>
      <w:r w:rsidRPr="00421DF8">
        <w:rPr>
          <w:rFonts w:ascii="Arial" w:hAnsi="Arial" w:cs="Arial"/>
        </w:rPr>
        <w:t xml:space="preserve">you can type in a different number. </w:t>
      </w:r>
      <w:r w:rsidR="00421DF8">
        <w:rPr>
          <w:rFonts w:ascii="Arial" w:hAnsi="Arial" w:cs="Arial"/>
        </w:rPr>
        <w:t>Typing in the same number</w:t>
      </w:r>
      <w:r w:rsidRPr="00421DF8">
        <w:rPr>
          <w:rFonts w:ascii="Arial" w:hAnsi="Arial" w:cs="Arial"/>
        </w:rPr>
        <w:t xml:space="preserve"> in subsequent runs will ensure that you obtain the same values each time. </w:t>
      </w:r>
    </w:p>
    <w:p w14:paraId="60833EFF" w14:textId="77777777" w:rsidR="002429E5" w:rsidRPr="002429E5" w:rsidRDefault="002429E5" w:rsidP="002429E5">
      <w:pPr>
        <w:rPr>
          <w:rFonts w:ascii="Arial" w:hAnsi="Arial" w:cs="Arial"/>
          <w:b/>
          <w:bCs/>
        </w:rPr>
      </w:pPr>
    </w:p>
    <w:p w14:paraId="26149FEB" w14:textId="77777777" w:rsidR="002429E5" w:rsidRPr="002429E5" w:rsidRDefault="002429E5" w:rsidP="002429E5">
      <w:pPr>
        <w:rPr>
          <w:rFonts w:ascii="Arial" w:hAnsi="Arial" w:cs="Arial"/>
          <w:b/>
          <w:bCs/>
        </w:rPr>
      </w:pPr>
      <w:r w:rsidRPr="002429E5">
        <w:rPr>
          <w:rFonts w:ascii="Arial" w:hAnsi="Arial" w:cs="Arial"/>
          <w:b/>
          <w:bCs/>
        </w:rPr>
        <w:t>/* When seed = 0, the clock is used as the seed for the random</w:t>
      </w:r>
    </w:p>
    <w:p w14:paraId="0047C7B4" w14:textId="77777777" w:rsidR="002429E5" w:rsidRPr="002429E5" w:rsidRDefault="002429E5" w:rsidP="002429E5">
      <w:pPr>
        <w:rPr>
          <w:rFonts w:ascii="Arial" w:hAnsi="Arial" w:cs="Arial"/>
          <w:b/>
          <w:bCs/>
        </w:rPr>
      </w:pPr>
      <w:r w:rsidRPr="002429E5">
        <w:rPr>
          <w:rFonts w:ascii="Arial" w:hAnsi="Arial" w:cs="Arial"/>
          <w:b/>
          <w:bCs/>
        </w:rPr>
        <w:t xml:space="preserve">   number generations. This produces different random numbers</w:t>
      </w:r>
    </w:p>
    <w:p w14:paraId="5CC4E2E3" w14:textId="77777777" w:rsidR="002429E5" w:rsidRPr="002429E5" w:rsidRDefault="002429E5" w:rsidP="002429E5">
      <w:pPr>
        <w:rPr>
          <w:rFonts w:ascii="Arial" w:hAnsi="Arial" w:cs="Arial"/>
          <w:b/>
          <w:bCs/>
        </w:rPr>
      </w:pPr>
      <w:r w:rsidRPr="002429E5">
        <w:rPr>
          <w:rFonts w:ascii="Arial" w:hAnsi="Arial" w:cs="Arial"/>
          <w:b/>
          <w:bCs/>
        </w:rPr>
        <w:t xml:space="preserve">   on different runs of the program. To use the same random </w:t>
      </w:r>
    </w:p>
    <w:p w14:paraId="0840F589" w14:textId="77777777" w:rsidR="002429E5" w:rsidRPr="002429E5" w:rsidRDefault="002429E5" w:rsidP="002429E5">
      <w:pPr>
        <w:rPr>
          <w:rFonts w:ascii="Arial" w:hAnsi="Arial" w:cs="Arial"/>
          <w:b/>
          <w:bCs/>
        </w:rPr>
      </w:pPr>
      <w:r w:rsidRPr="002429E5">
        <w:rPr>
          <w:rFonts w:ascii="Arial" w:hAnsi="Arial" w:cs="Arial"/>
          <w:b/>
          <w:bCs/>
        </w:rPr>
        <w:t xml:space="preserve">   numbers on different runs of the program, set seed to a value</w:t>
      </w:r>
    </w:p>
    <w:p w14:paraId="3F184D2E" w14:textId="7D66E599" w:rsidR="002429E5" w:rsidRDefault="002429E5" w:rsidP="002429E5">
      <w:pPr>
        <w:rPr>
          <w:rFonts w:ascii="Arial" w:hAnsi="Arial" w:cs="Arial"/>
          <w:b/>
          <w:bCs/>
        </w:rPr>
      </w:pPr>
      <w:r w:rsidRPr="002429E5">
        <w:rPr>
          <w:rFonts w:ascii="Arial" w:hAnsi="Arial" w:cs="Arial"/>
          <w:b/>
          <w:bCs/>
        </w:rPr>
        <w:t xml:space="preserve">   other than 0 */</w:t>
      </w:r>
    </w:p>
    <w:p w14:paraId="6F830FB9" w14:textId="77777777" w:rsidR="00421DF8" w:rsidRPr="002429E5" w:rsidRDefault="00421DF8" w:rsidP="002429E5">
      <w:pPr>
        <w:rPr>
          <w:rFonts w:ascii="Arial" w:hAnsi="Arial" w:cs="Arial"/>
          <w:b/>
          <w:bCs/>
        </w:rPr>
      </w:pPr>
    </w:p>
    <w:p w14:paraId="2255B155" w14:textId="48704DDA" w:rsidR="002429E5" w:rsidRDefault="002429E5" w:rsidP="002429E5">
      <w:pPr>
        <w:rPr>
          <w:rFonts w:ascii="Arial" w:hAnsi="Arial" w:cs="Arial"/>
          <w:b/>
          <w:bCs/>
        </w:rPr>
      </w:pPr>
      <w:r w:rsidRPr="002429E5">
        <w:rPr>
          <w:rFonts w:ascii="Arial" w:hAnsi="Arial" w:cs="Arial"/>
          <w:b/>
          <w:bCs/>
        </w:rPr>
        <w:t xml:space="preserve">seed = </w:t>
      </w:r>
      <w:r w:rsidRPr="00421DF8">
        <w:rPr>
          <w:rFonts w:ascii="Arial" w:hAnsi="Arial" w:cs="Arial"/>
        </w:rPr>
        <w:t>0</w:t>
      </w:r>
      <w:r w:rsidRPr="002429E5">
        <w:rPr>
          <w:rFonts w:ascii="Arial" w:hAnsi="Arial" w:cs="Arial"/>
          <w:b/>
          <w:bCs/>
        </w:rPr>
        <w:t>;</w:t>
      </w:r>
    </w:p>
    <w:p w14:paraId="17676E87" w14:textId="7607EBB5" w:rsidR="00B70D9E" w:rsidRDefault="00B70D9E" w:rsidP="002429E5">
      <w:pPr>
        <w:rPr>
          <w:rFonts w:ascii="Arial" w:hAnsi="Arial" w:cs="Arial"/>
          <w:b/>
          <w:bCs/>
        </w:rPr>
      </w:pPr>
    </w:p>
    <w:p w14:paraId="1F6D494D" w14:textId="77777777" w:rsidR="00B70D9E" w:rsidRDefault="00B70D9E" w:rsidP="00B70D9E">
      <w:pPr>
        <w:autoSpaceDE w:val="0"/>
        <w:autoSpaceDN w:val="0"/>
        <w:adjustRightInd w:val="0"/>
        <w:rPr>
          <w:rFonts w:ascii="Arial" w:hAnsi="Arial" w:cs="Arial"/>
          <w:b/>
          <w:bCs/>
        </w:rPr>
      </w:pPr>
      <w:r w:rsidRPr="00B70D9E">
        <w:rPr>
          <w:rFonts w:ascii="Arial" w:hAnsi="Arial" w:cs="Arial"/>
        </w:rPr>
        <w:t>Leave everything below the line</w:t>
      </w:r>
      <w:r w:rsidRPr="00B70D9E">
        <w:rPr>
          <w:rFonts w:ascii="Arial" w:hAnsi="Arial" w:cs="Arial"/>
          <w:b/>
          <w:bCs/>
        </w:rPr>
        <w:t xml:space="preserve"> </w:t>
      </w:r>
    </w:p>
    <w:p w14:paraId="6003980F" w14:textId="77777777" w:rsidR="00B70D9E" w:rsidRDefault="00B70D9E" w:rsidP="00B70D9E">
      <w:pPr>
        <w:autoSpaceDE w:val="0"/>
        <w:autoSpaceDN w:val="0"/>
        <w:adjustRightInd w:val="0"/>
        <w:rPr>
          <w:rFonts w:ascii="Arial" w:hAnsi="Arial" w:cs="Arial"/>
          <w:b/>
          <w:bCs/>
        </w:rPr>
      </w:pPr>
    </w:p>
    <w:p w14:paraId="3C44707F" w14:textId="77777777" w:rsidR="00B70D9E" w:rsidRDefault="00B70D9E" w:rsidP="00B70D9E">
      <w:pPr>
        <w:autoSpaceDE w:val="0"/>
        <w:autoSpaceDN w:val="0"/>
        <w:adjustRightInd w:val="0"/>
        <w:jc w:val="center"/>
        <w:rPr>
          <w:rFonts w:ascii="Arial" w:hAnsi="Arial" w:cs="Arial"/>
          <w:color w:val="008000"/>
          <w:shd w:val="clear" w:color="auto" w:fill="FFFFFF"/>
          <w:lang w:bidi="ar-SA"/>
        </w:rPr>
      </w:pPr>
      <w:r w:rsidRPr="00B70D9E">
        <w:rPr>
          <w:rFonts w:ascii="Arial" w:hAnsi="Arial" w:cs="Arial"/>
          <w:b/>
          <w:bCs/>
        </w:rPr>
        <w:t>“</w:t>
      </w:r>
      <w:r w:rsidRPr="00B70D9E">
        <w:rPr>
          <w:rFonts w:ascii="Arial" w:hAnsi="Arial" w:cs="Arial"/>
          <w:color w:val="008000"/>
          <w:shd w:val="clear" w:color="auto" w:fill="FFFFFF"/>
          <w:lang w:bidi="ar-SA"/>
        </w:rPr>
        <w:t xml:space="preserve">/************* End of user specifications ***********************/” </w:t>
      </w:r>
      <w:r>
        <w:rPr>
          <w:rFonts w:ascii="Arial" w:hAnsi="Arial" w:cs="Arial"/>
          <w:color w:val="008000"/>
          <w:shd w:val="clear" w:color="auto" w:fill="FFFFFF"/>
          <w:lang w:bidi="ar-SA"/>
        </w:rPr>
        <w:t xml:space="preserve"> </w:t>
      </w:r>
    </w:p>
    <w:p w14:paraId="1800C7DC" w14:textId="77777777" w:rsidR="00B70D9E" w:rsidRDefault="00B70D9E" w:rsidP="00B70D9E">
      <w:pPr>
        <w:autoSpaceDE w:val="0"/>
        <w:autoSpaceDN w:val="0"/>
        <w:adjustRightInd w:val="0"/>
        <w:jc w:val="center"/>
        <w:rPr>
          <w:rFonts w:ascii="Arial" w:hAnsi="Arial" w:cs="Arial"/>
          <w:color w:val="008000"/>
          <w:shd w:val="clear" w:color="auto" w:fill="FFFFFF"/>
          <w:lang w:bidi="ar-SA"/>
        </w:rPr>
      </w:pPr>
    </w:p>
    <w:p w14:paraId="486A0798" w14:textId="70FFFFB0" w:rsidR="00B70D9E" w:rsidRDefault="00B70D9E" w:rsidP="00B70D9E">
      <w:pPr>
        <w:autoSpaceDE w:val="0"/>
        <w:autoSpaceDN w:val="0"/>
        <w:adjustRightInd w:val="0"/>
        <w:rPr>
          <w:rFonts w:ascii="Arial" w:hAnsi="Arial" w:cs="Arial"/>
          <w:shd w:val="clear" w:color="auto" w:fill="FFFFFF"/>
          <w:lang w:bidi="ar-SA"/>
        </w:rPr>
      </w:pPr>
      <w:r w:rsidRPr="00B70D9E">
        <w:rPr>
          <w:rFonts w:ascii="Arial" w:hAnsi="Arial" w:cs="Arial"/>
          <w:shd w:val="clear" w:color="auto" w:fill="FFFFFF"/>
          <w:lang w:bidi="ar-SA"/>
        </w:rPr>
        <w:t>as is.</w:t>
      </w:r>
    </w:p>
    <w:p w14:paraId="2800E8B1" w14:textId="77777777" w:rsidR="00B70D9E" w:rsidRDefault="00B70D9E" w:rsidP="00B70D9E">
      <w:pPr>
        <w:autoSpaceDE w:val="0"/>
        <w:autoSpaceDN w:val="0"/>
        <w:adjustRightInd w:val="0"/>
        <w:rPr>
          <w:rFonts w:ascii="Arial" w:hAnsi="Arial" w:cs="Arial"/>
          <w:shd w:val="clear" w:color="auto" w:fill="FFFFFF"/>
          <w:lang w:bidi="ar-SA"/>
        </w:rPr>
      </w:pPr>
    </w:p>
    <w:p w14:paraId="021C7B88" w14:textId="61EE3E64" w:rsidR="00F25617" w:rsidRDefault="00B70D9E" w:rsidP="00B70D9E">
      <w:pPr>
        <w:autoSpaceDE w:val="0"/>
        <w:autoSpaceDN w:val="0"/>
        <w:adjustRightInd w:val="0"/>
        <w:rPr>
          <w:rFonts w:ascii="Arial" w:hAnsi="Arial"/>
          <w:szCs w:val="20"/>
          <w:lang w:bidi="ar-SA"/>
        </w:rPr>
      </w:pPr>
      <w:r>
        <w:rPr>
          <w:rFonts w:ascii="Arial" w:hAnsi="Arial" w:cs="Arial"/>
          <w:shd w:val="clear" w:color="auto" w:fill="FFFFFF"/>
          <w:lang w:bidi="ar-SA"/>
        </w:rPr>
        <w:t xml:space="preserve">Running all the syntax will yield the </w:t>
      </w:r>
      <w:r w:rsidR="00627E2E">
        <w:rPr>
          <w:rFonts w:ascii="Arial" w:hAnsi="Arial"/>
          <w:szCs w:val="20"/>
          <w:lang w:bidi="ar-SA"/>
        </w:rPr>
        <w:t>following output:</w:t>
      </w:r>
    </w:p>
    <w:p w14:paraId="0BDC7978" w14:textId="242C9CBB" w:rsidR="00B70D9E" w:rsidRDefault="00B70D9E" w:rsidP="00B70D9E">
      <w:pPr>
        <w:autoSpaceDE w:val="0"/>
        <w:autoSpaceDN w:val="0"/>
        <w:adjustRightInd w:val="0"/>
        <w:rPr>
          <w:rFonts w:ascii="Arial" w:hAnsi="Arial"/>
          <w:szCs w:val="20"/>
          <w:lang w:bidi="ar-SA"/>
        </w:rPr>
      </w:pPr>
    </w:p>
    <w:p w14:paraId="5E8564E2" w14:textId="77777777" w:rsidR="00B70D9E" w:rsidRDefault="00B70D9E" w:rsidP="00B70D9E">
      <w:pPr>
        <w:autoSpaceDE w:val="0"/>
        <w:autoSpaceDN w:val="0"/>
        <w:adjustRightInd w:val="0"/>
        <w:rPr>
          <w:rFonts w:ascii="Arial" w:hAnsi="Arial"/>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1615"/>
        <w:gridCol w:w="726"/>
      </w:tblGrid>
      <w:tr w:rsidR="00B70D9E" w:rsidRPr="00B70D9E" w14:paraId="6B93D465" w14:textId="77777777" w:rsidTr="00B70D9E">
        <w:trPr>
          <w:cantSplit/>
          <w:trHeight w:val="424"/>
        </w:trPr>
        <w:tc>
          <w:tcPr>
            <w:tcW w:w="1615" w:type="dxa"/>
            <w:tcBorders>
              <w:top w:val="single" w:sz="6" w:space="0" w:color="000000"/>
              <w:left w:val="single" w:sz="6" w:space="0" w:color="000000"/>
              <w:bottom w:val="single" w:sz="2" w:space="0" w:color="000000"/>
              <w:right w:val="nil"/>
            </w:tcBorders>
            <w:shd w:val="clear" w:color="auto" w:fill="BBBBBB"/>
            <w:tcMar>
              <w:left w:w="60" w:type="dxa"/>
              <w:right w:w="60" w:type="dxa"/>
            </w:tcMar>
          </w:tcPr>
          <w:p w14:paraId="01E73911" w14:textId="77777777" w:rsidR="00B70D9E" w:rsidRPr="00B70D9E" w:rsidRDefault="00B70D9E" w:rsidP="00B70D9E">
            <w:pPr>
              <w:keepNext/>
              <w:autoSpaceDE w:val="0"/>
              <w:autoSpaceDN w:val="0"/>
              <w:adjustRightInd w:val="0"/>
              <w:spacing w:before="60" w:after="60"/>
              <w:rPr>
                <w:rFonts w:eastAsiaTheme="minorEastAsia"/>
                <w:b/>
                <w:bCs/>
                <w:color w:val="000000"/>
                <w:sz w:val="22"/>
                <w:szCs w:val="22"/>
                <w:lang w:bidi="ar-SA"/>
              </w:rPr>
            </w:pPr>
            <w:proofErr w:type="spellStart"/>
            <w:r w:rsidRPr="00B70D9E">
              <w:rPr>
                <w:rFonts w:eastAsiaTheme="minorEastAsia"/>
                <w:b/>
                <w:bCs/>
                <w:color w:val="000000"/>
                <w:sz w:val="22"/>
                <w:szCs w:val="22"/>
                <w:lang w:bidi="ar-SA"/>
              </w:rPr>
              <w:lastRenderedPageBreak/>
              <w:t>Ncases</w:t>
            </w:r>
            <w:proofErr w:type="spellEnd"/>
          </w:p>
        </w:tc>
        <w:tc>
          <w:tcPr>
            <w:tcW w:w="726" w:type="dxa"/>
            <w:tcBorders>
              <w:top w:val="single" w:sz="6" w:space="0" w:color="000000"/>
              <w:left w:val="single" w:sz="2" w:space="0" w:color="000000"/>
              <w:bottom w:val="single" w:sz="2" w:space="0" w:color="000000"/>
              <w:right w:val="single" w:sz="6" w:space="0" w:color="000000"/>
            </w:tcBorders>
            <w:shd w:val="clear" w:color="auto" w:fill="FFFFFF"/>
            <w:tcMar>
              <w:left w:w="60" w:type="dxa"/>
              <w:right w:w="60" w:type="dxa"/>
            </w:tcMar>
          </w:tcPr>
          <w:p w14:paraId="1E84E6B8"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371</w:t>
            </w:r>
          </w:p>
        </w:tc>
      </w:tr>
      <w:tr w:rsidR="00B70D9E" w:rsidRPr="00B70D9E" w14:paraId="07497D95" w14:textId="77777777" w:rsidTr="00B70D9E">
        <w:trPr>
          <w:cantSplit/>
          <w:trHeight w:val="438"/>
        </w:trPr>
        <w:tc>
          <w:tcPr>
            <w:tcW w:w="1615" w:type="dxa"/>
            <w:tcBorders>
              <w:top w:val="nil"/>
              <w:left w:val="single" w:sz="6" w:space="0" w:color="000000"/>
              <w:bottom w:val="single" w:sz="2" w:space="0" w:color="000000"/>
              <w:right w:val="nil"/>
            </w:tcBorders>
            <w:shd w:val="clear" w:color="auto" w:fill="BBBBBB"/>
            <w:tcMar>
              <w:left w:w="60" w:type="dxa"/>
              <w:right w:w="60" w:type="dxa"/>
            </w:tcMar>
          </w:tcPr>
          <w:p w14:paraId="21481656" w14:textId="77777777" w:rsidR="00B70D9E" w:rsidRPr="00B70D9E" w:rsidRDefault="00B70D9E" w:rsidP="00B70D9E">
            <w:pPr>
              <w:keepNext/>
              <w:autoSpaceDE w:val="0"/>
              <w:autoSpaceDN w:val="0"/>
              <w:adjustRightInd w:val="0"/>
              <w:spacing w:before="60" w:after="60"/>
              <w:rPr>
                <w:rFonts w:eastAsiaTheme="minorEastAsia"/>
                <w:b/>
                <w:bCs/>
                <w:color w:val="000000"/>
                <w:sz w:val="22"/>
                <w:szCs w:val="22"/>
                <w:lang w:bidi="ar-SA"/>
              </w:rPr>
            </w:pPr>
            <w:proofErr w:type="spellStart"/>
            <w:r w:rsidRPr="00B70D9E">
              <w:rPr>
                <w:rFonts w:eastAsiaTheme="minorEastAsia"/>
                <w:b/>
                <w:bCs/>
                <w:color w:val="000000"/>
                <w:sz w:val="22"/>
                <w:szCs w:val="22"/>
                <w:lang w:bidi="ar-SA"/>
              </w:rPr>
              <w:t>Nvars</w:t>
            </w:r>
            <w:proofErr w:type="spellEnd"/>
          </w:p>
        </w:tc>
        <w:tc>
          <w:tcPr>
            <w:tcW w:w="72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58DAD98"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9</w:t>
            </w:r>
          </w:p>
        </w:tc>
      </w:tr>
      <w:tr w:rsidR="00B70D9E" w:rsidRPr="00B70D9E" w14:paraId="4B580F6C" w14:textId="77777777" w:rsidTr="00B70D9E">
        <w:trPr>
          <w:cantSplit/>
          <w:trHeight w:val="424"/>
        </w:trPr>
        <w:tc>
          <w:tcPr>
            <w:tcW w:w="1615" w:type="dxa"/>
            <w:tcBorders>
              <w:top w:val="nil"/>
              <w:left w:val="single" w:sz="6" w:space="0" w:color="000000"/>
              <w:bottom w:val="single" w:sz="2" w:space="0" w:color="000000"/>
              <w:right w:val="nil"/>
            </w:tcBorders>
            <w:shd w:val="clear" w:color="auto" w:fill="BBBBBB"/>
            <w:tcMar>
              <w:left w:w="60" w:type="dxa"/>
              <w:right w:w="60" w:type="dxa"/>
            </w:tcMar>
          </w:tcPr>
          <w:p w14:paraId="29637D0B" w14:textId="77777777" w:rsidR="00B70D9E" w:rsidRPr="00B70D9E" w:rsidRDefault="00B70D9E" w:rsidP="00B70D9E">
            <w:pPr>
              <w:keepNext/>
              <w:autoSpaceDE w:val="0"/>
              <w:autoSpaceDN w:val="0"/>
              <w:adjustRightInd w:val="0"/>
              <w:spacing w:before="60" w:after="60"/>
              <w:rPr>
                <w:rFonts w:eastAsiaTheme="minorEastAsia"/>
                <w:b/>
                <w:bCs/>
                <w:color w:val="000000"/>
                <w:sz w:val="22"/>
                <w:szCs w:val="22"/>
                <w:lang w:bidi="ar-SA"/>
              </w:rPr>
            </w:pPr>
            <w:proofErr w:type="spellStart"/>
            <w:r w:rsidRPr="00B70D9E">
              <w:rPr>
                <w:rFonts w:eastAsiaTheme="minorEastAsia"/>
                <w:b/>
                <w:bCs/>
                <w:color w:val="000000"/>
                <w:sz w:val="22"/>
                <w:szCs w:val="22"/>
                <w:lang w:bidi="ar-SA"/>
              </w:rPr>
              <w:t>Ndatsets</w:t>
            </w:r>
            <w:proofErr w:type="spellEnd"/>
          </w:p>
        </w:tc>
        <w:tc>
          <w:tcPr>
            <w:tcW w:w="72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8C0E683"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100</w:t>
            </w:r>
          </w:p>
        </w:tc>
      </w:tr>
      <w:tr w:rsidR="00B70D9E" w:rsidRPr="00B70D9E" w14:paraId="0BC66AF9" w14:textId="77777777" w:rsidTr="00B70D9E">
        <w:trPr>
          <w:cantSplit/>
          <w:trHeight w:val="438"/>
        </w:trPr>
        <w:tc>
          <w:tcPr>
            <w:tcW w:w="1615" w:type="dxa"/>
            <w:tcBorders>
              <w:top w:val="nil"/>
              <w:left w:val="single" w:sz="6" w:space="0" w:color="000000"/>
              <w:bottom w:val="single" w:sz="6" w:space="0" w:color="000000"/>
              <w:right w:val="nil"/>
            </w:tcBorders>
            <w:shd w:val="clear" w:color="auto" w:fill="BBBBBB"/>
            <w:tcMar>
              <w:left w:w="60" w:type="dxa"/>
              <w:right w:w="60" w:type="dxa"/>
            </w:tcMar>
          </w:tcPr>
          <w:p w14:paraId="0C54884A" w14:textId="77777777" w:rsidR="00B70D9E" w:rsidRPr="00B70D9E" w:rsidRDefault="00B70D9E" w:rsidP="00B70D9E">
            <w:pPr>
              <w:keepNext/>
              <w:autoSpaceDE w:val="0"/>
              <w:autoSpaceDN w:val="0"/>
              <w:adjustRightInd w:val="0"/>
              <w:spacing w:before="60" w:after="60"/>
              <w:rPr>
                <w:rFonts w:eastAsiaTheme="minorEastAsia"/>
                <w:b/>
                <w:bCs/>
                <w:color w:val="000000"/>
                <w:sz w:val="22"/>
                <w:szCs w:val="22"/>
                <w:lang w:bidi="ar-SA"/>
              </w:rPr>
            </w:pPr>
            <w:r w:rsidRPr="00B70D9E">
              <w:rPr>
                <w:rFonts w:eastAsiaTheme="minorEastAsia"/>
                <w:b/>
                <w:bCs/>
                <w:color w:val="000000"/>
                <w:sz w:val="22"/>
                <w:szCs w:val="22"/>
                <w:lang w:bidi="ar-SA"/>
              </w:rPr>
              <w:t>Percent</w:t>
            </w:r>
          </w:p>
        </w:tc>
        <w:tc>
          <w:tcPr>
            <w:tcW w:w="726"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21FD417F"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95</w:t>
            </w:r>
          </w:p>
        </w:tc>
      </w:tr>
    </w:tbl>
    <w:p w14:paraId="71936101" w14:textId="7BBBC898" w:rsidR="00627E2E" w:rsidRDefault="00627E2E" w:rsidP="00152FFE">
      <w:pPr>
        <w:rPr>
          <w:rFonts w:ascii="Arial" w:hAnsi="Arial"/>
          <w:szCs w:val="20"/>
          <w:lang w:bidi="ar-SA"/>
        </w:rPr>
      </w:pPr>
    </w:p>
    <w:p w14:paraId="2A8C1116" w14:textId="77777777" w:rsidR="00B70D9E" w:rsidRPr="00421DF8" w:rsidRDefault="00B70D9E" w:rsidP="00B70D9E">
      <w:pPr>
        <w:autoSpaceDE w:val="0"/>
        <w:autoSpaceDN w:val="0"/>
        <w:adjustRightInd w:val="0"/>
        <w:rPr>
          <w:rFonts w:ascii="Arial" w:hAnsi="Arial" w:cs="Arial"/>
          <w:color w:val="000000"/>
          <w:lang w:bidi="ar-SA"/>
        </w:rPr>
      </w:pPr>
      <w:r w:rsidRPr="00421DF8">
        <w:rPr>
          <w:rFonts w:ascii="Arial" w:hAnsi="Arial"/>
          <w:szCs w:val="20"/>
          <w:lang w:bidi="ar-SA"/>
        </w:rPr>
        <w:t xml:space="preserve">This table provides the numbers of cases and variables on which the </w:t>
      </w:r>
      <w:r w:rsidRPr="00421DF8">
        <w:rPr>
          <w:rFonts w:ascii="Arial" w:hAnsi="Arial" w:cs="Arial"/>
          <w:color w:val="000000"/>
          <w:lang w:bidi="ar-SA"/>
        </w:rPr>
        <w:t xml:space="preserve">PA was based. </w:t>
      </w:r>
    </w:p>
    <w:p w14:paraId="540BD2B0" w14:textId="77777777" w:rsidR="00B70D9E" w:rsidRPr="00421DF8" w:rsidRDefault="00B70D9E" w:rsidP="00B70D9E">
      <w:pPr>
        <w:autoSpaceDE w:val="0"/>
        <w:autoSpaceDN w:val="0"/>
        <w:adjustRightInd w:val="0"/>
        <w:rPr>
          <w:rFonts w:ascii="Arial" w:hAnsi="Arial" w:cs="Arial"/>
          <w:color w:val="000000"/>
          <w:lang w:bidi="ar-SA"/>
        </w:rPr>
      </w:pPr>
    </w:p>
    <w:p w14:paraId="5FB39276" w14:textId="649E9CF3" w:rsidR="00B70D9E" w:rsidRPr="00421DF8" w:rsidRDefault="00B70D9E" w:rsidP="00B70D9E">
      <w:pPr>
        <w:autoSpaceDE w:val="0"/>
        <w:autoSpaceDN w:val="0"/>
        <w:adjustRightInd w:val="0"/>
        <w:rPr>
          <w:rFonts w:ascii="Arial" w:hAnsi="Arial" w:cs="Arial"/>
          <w:color w:val="000000"/>
          <w:lang w:bidi="ar-SA"/>
        </w:rPr>
      </w:pPr>
      <w:r w:rsidRPr="00421DF8">
        <w:rPr>
          <w:rFonts w:ascii="Arial" w:hAnsi="Arial" w:cs="Arial"/>
          <w:color w:val="000000"/>
          <w:lang w:bidi="ar-SA"/>
        </w:rPr>
        <w:t>These should match the number of (complete) cases and number of variables in your data set. Remember that there were 371 respondents with complete data, so the analyses are based on this number.</w:t>
      </w:r>
    </w:p>
    <w:p w14:paraId="33F80F83" w14:textId="77777777" w:rsidR="00B70D9E" w:rsidRPr="00421DF8" w:rsidRDefault="00B70D9E" w:rsidP="00B70D9E">
      <w:pPr>
        <w:autoSpaceDE w:val="0"/>
        <w:autoSpaceDN w:val="0"/>
        <w:adjustRightInd w:val="0"/>
        <w:rPr>
          <w:rFonts w:ascii="Arial" w:hAnsi="Arial" w:cs="Arial"/>
          <w:color w:val="000000"/>
          <w:lang w:bidi="ar-SA"/>
        </w:rPr>
      </w:pPr>
    </w:p>
    <w:p w14:paraId="0706A584" w14:textId="4CC5C25C" w:rsidR="00B70D9E" w:rsidRPr="00421DF8" w:rsidRDefault="00B70D9E" w:rsidP="00B70D9E">
      <w:pPr>
        <w:autoSpaceDE w:val="0"/>
        <w:autoSpaceDN w:val="0"/>
        <w:adjustRightInd w:val="0"/>
        <w:rPr>
          <w:rFonts w:ascii="Arial" w:hAnsi="Arial" w:cs="Arial"/>
          <w:color w:val="000000"/>
          <w:lang w:bidi="ar-SA"/>
        </w:rPr>
      </w:pPr>
      <w:r w:rsidRPr="00421DF8">
        <w:rPr>
          <w:rFonts w:ascii="Arial" w:hAnsi="Arial" w:cs="Arial"/>
          <w:color w:val="000000"/>
          <w:lang w:bidi="ar-SA"/>
        </w:rPr>
        <w:t>The number of datasets and the percent (percentile) that you specified in the macro are also shown.</w:t>
      </w:r>
    </w:p>
    <w:p w14:paraId="6E0B624E" w14:textId="7C86CA95" w:rsidR="00627E2E" w:rsidRDefault="00627E2E" w:rsidP="00152FFE">
      <w:pPr>
        <w:rPr>
          <w:rFonts w:ascii="Arial" w:hAnsi="Arial"/>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7563"/>
      </w:tblGrid>
      <w:tr w:rsidR="00B70D9E" w14:paraId="0971E5FC" w14:textId="77777777" w:rsidTr="00B70D9E">
        <w:trPr>
          <w:cantSplit/>
          <w:trHeight w:val="448"/>
        </w:trPr>
        <w:tc>
          <w:tcPr>
            <w:tcW w:w="7563"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49602B82" w14:textId="77777777" w:rsidR="00B70D9E" w:rsidRDefault="00B70D9E" w:rsidP="00891BF9">
            <w:pPr>
              <w:keepNext/>
              <w:adjustRightInd w:val="0"/>
              <w:spacing w:before="60" w:after="60"/>
              <w:rPr>
                <w:color w:val="000000"/>
              </w:rPr>
            </w:pPr>
            <w:r>
              <w:rPr>
                <w:color w:val="000000"/>
              </w:rPr>
              <w:t>Raw Data Eigenvalues, &amp; Mean &amp; Percentile Random Data Eigenvalues</w:t>
            </w:r>
          </w:p>
        </w:tc>
      </w:tr>
    </w:tbl>
    <w:p w14:paraId="5A16C325" w14:textId="77777777" w:rsidR="00B70D9E" w:rsidRDefault="00B70D9E" w:rsidP="00152FFE">
      <w:pPr>
        <w:rPr>
          <w:rFonts w:ascii="Arial" w:hAnsi="Arial"/>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1261"/>
        <w:gridCol w:w="1511"/>
        <w:gridCol w:w="1342"/>
        <w:gridCol w:w="1342"/>
      </w:tblGrid>
      <w:tr w:rsidR="00B70D9E" w:rsidRPr="00B70D9E" w14:paraId="1CA90980" w14:textId="77777777" w:rsidTr="00B70D9E">
        <w:trPr>
          <w:cantSplit/>
          <w:trHeight w:val="441"/>
          <w:tblHeader/>
        </w:trPr>
        <w:tc>
          <w:tcPr>
            <w:tcW w:w="1261"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14:paraId="6519B5BF" w14:textId="77777777" w:rsidR="00B70D9E" w:rsidRPr="00B70D9E" w:rsidRDefault="00B70D9E" w:rsidP="00B70D9E">
            <w:pPr>
              <w:keepNext/>
              <w:autoSpaceDE w:val="0"/>
              <w:autoSpaceDN w:val="0"/>
              <w:adjustRightInd w:val="0"/>
              <w:spacing w:before="60" w:after="60"/>
              <w:jc w:val="right"/>
              <w:rPr>
                <w:rFonts w:eastAsiaTheme="minorEastAsia"/>
                <w:b/>
                <w:bCs/>
                <w:color w:val="000000"/>
                <w:sz w:val="22"/>
                <w:szCs w:val="22"/>
                <w:lang w:bidi="ar-SA"/>
              </w:rPr>
            </w:pPr>
            <w:r w:rsidRPr="00B70D9E">
              <w:rPr>
                <w:rFonts w:eastAsiaTheme="minorEastAsia"/>
                <w:b/>
                <w:bCs/>
                <w:color w:val="000000"/>
                <w:sz w:val="22"/>
                <w:szCs w:val="22"/>
                <w:lang w:bidi="ar-SA"/>
              </w:rPr>
              <w:t>Root</w:t>
            </w:r>
          </w:p>
        </w:tc>
        <w:tc>
          <w:tcPr>
            <w:tcW w:w="1511"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265E441E" w14:textId="77777777" w:rsidR="00B70D9E" w:rsidRPr="00B70D9E" w:rsidRDefault="00B70D9E" w:rsidP="00B70D9E">
            <w:pPr>
              <w:keepNext/>
              <w:autoSpaceDE w:val="0"/>
              <w:autoSpaceDN w:val="0"/>
              <w:adjustRightInd w:val="0"/>
              <w:spacing w:before="60" w:after="60"/>
              <w:jc w:val="right"/>
              <w:rPr>
                <w:rFonts w:eastAsiaTheme="minorEastAsia"/>
                <w:b/>
                <w:bCs/>
                <w:color w:val="000000"/>
                <w:sz w:val="22"/>
                <w:szCs w:val="22"/>
                <w:lang w:bidi="ar-SA"/>
              </w:rPr>
            </w:pPr>
            <w:r w:rsidRPr="00B70D9E">
              <w:rPr>
                <w:rFonts w:eastAsiaTheme="minorEastAsia"/>
                <w:b/>
                <w:bCs/>
                <w:color w:val="000000"/>
                <w:sz w:val="22"/>
                <w:szCs w:val="22"/>
                <w:lang w:bidi="ar-SA"/>
              </w:rPr>
              <w:t>Raw Data</w:t>
            </w:r>
          </w:p>
        </w:tc>
        <w:tc>
          <w:tcPr>
            <w:tcW w:w="1342"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096803AD" w14:textId="77777777" w:rsidR="00B70D9E" w:rsidRPr="00B70D9E" w:rsidRDefault="00B70D9E" w:rsidP="00B70D9E">
            <w:pPr>
              <w:keepNext/>
              <w:autoSpaceDE w:val="0"/>
              <w:autoSpaceDN w:val="0"/>
              <w:adjustRightInd w:val="0"/>
              <w:spacing w:before="60" w:after="60"/>
              <w:jc w:val="right"/>
              <w:rPr>
                <w:rFonts w:eastAsiaTheme="minorEastAsia"/>
                <w:b/>
                <w:bCs/>
                <w:color w:val="000000"/>
                <w:sz w:val="22"/>
                <w:szCs w:val="22"/>
                <w:lang w:bidi="ar-SA"/>
              </w:rPr>
            </w:pPr>
            <w:r w:rsidRPr="00B70D9E">
              <w:rPr>
                <w:rFonts w:eastAsiaTheme="minorEastAsia"/>
                <w:b/>
                <w:bCs/>
                <w:color w:val="000000"/>
                <w:sz w:val="22"/>
                <w:szCs w:val="22"/>
                <w:lang w:bidi="ar-SA"/>
              </w:rPr>
              <w:t>Means</w:t>
            </w:r>
          </w:p>
        </w:tc>
        <w:tc>
          <w:tcPr>
            <w:tcW w:w="1342"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7661AFFA" w14:textId="77777777" w:rsidR="00B70D9E" w:rsidRPr="00B70D9E" w:rsidRDefault="00B70D9E" w:rsidP="00B70D9E">
            <w:pPr>
              <w:keepNext/>
              <w:autoSpaceDE w:val="0"/>
              <w:autoSpaceDN w:val="0"/>
              <w:adjustRightInd w:val="0"/>
              <w:spacing w:before="60" w:after="60"/>
              <w:jc w:val="right"/>
              <w:rPr>
                <w:rFonts w:eastAsiaTheme="minorEastAsia"/>
                <w:b/>
                <w:bCs/>
                <w:color w:val="000000"/>
                <w:sz w:val="22"/>
                <w:szCs w:val="22"/>
                <w:lang w:bidi="ar-SA"/>
              </w:rPr>
            </w:pPr>
            <w:proofErr w:type="spellStart"/>
            <w:r w:rsidRPr="00B70D9E">
              <w:rPr>
                <w:rFonts w:eastAsiaTheme="minorEastAsia"/>
                <w:b/>
                <w:bCs/>
                <w:color w:val="000000"/>
                <w:sz w:val="22"/>
                <w:szCs w:val="22"/>
                <w:lang w:bidi="ar-SA"/>
              </w:rPr>
              <w:t>Prcntyle</w:t>
            </w:r>
            <w:proofErr w:type="spellEnd"/>
          </w:p>
        </w:tc>
      </w:tr>
      <w:tr w:rsidR="00B70D9E" w:rsidRPr="00B70D9E" w14:paraId="647ED036" w14:textId="77777777" w:rsidTr="00B70D9E">
        <w:trPr>
          <w:cantSplit/>
          <w:trHeight w:val="427"/>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1BDE3AC2"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1.000000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3780F45A"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1.816130</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692AEC4C"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0.275005</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EB80404"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0.332724</w:t>
            </w:r>
          </w:p>
        </w:tc>
      </w:tr>
      <w:tr w:rsidR="00B70D9E" w:rsidRPr="00B70D9E" w14:paraId="2BEB1426" w14:textId="77777777" w:rsidTr="00B70D9E">
        <w:trPr>
          <w:cantSplit/>
          <w:trHeight w:val="413"/>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7006A1BF"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2.000000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49781F70"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1.227235</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205AD9B1" w14:textId="54F0D118" w:rsidR="00B70D9E" w:rsidRPr="00B70D9E" w:rsidRDefault="00DE0E07" w:rsidP="00B70D9E">
            <w:pPr>
              <w:keepNext/>
              <w:autoSpaceDE w:val="0"/>
              <w:autoSpaceDN w:val="0"/>
              <w:adjustRightInd w:val="0"/>
              <w:spacing w:before="60" w:after="60"/>
              <w:jc w:val="right"/>
              <w:rPr>
                <w:rFonts w:eastAsiaTheme="minorEastAsia"/>
                <w:color w:val="000000"/>
                <w:sz w:val="20"/>
                <w:szCs w:val="20"/>
                <w:lang w:bidi="ar-SA"/>
              </w:rPr>
            </w:pPr>
            <w:r w:rsidRPr="00DE0E07">
              <w:rPr>
                <w:rFonts w:eastAsiaTheme="minorEastAsia"/>
                <w:noProof/>
                <w:color w:val="4472C4" w:themeColor="accent1"/>
                <w:sz w:val="20"/>
                <w:szCs w:val="20"/>
                <w:lang w:bidi="ar-SA"/>
              </w:rPr>
              <mc:AlternateContent>
                <mc:Choice Requires="wps">
                  <w:drawing>
                    <wp:anchor distT="0" distB="0" distL="114300" distR="114300" simplePos="0" relativeHeight="251661312" behindDoc="0" locked="0" layoutInCell="1" allowOverlap="1" wp14:anchorId="359271FE" wp14:editId="35D8E4F1">
                      <wp:simplePos x="0" y="0"/>
                      <wp:positionH relativeFrom="column">
                        <wp:posOffset>-1804035</wp:posOffset>
                      </wp:positionH>
                      <wp:positionV relativeFrom="paragraph">
                        <wp:posOffset>-12700</wp:posOffset>
                      </wp:positionV>
                      <wp:extent cx="3489960" cy="281940"/>
                      <wp:effectExtent l="0" t="0" r="15240" b="22860"/>
                      <wp:wrapNone/>
                      <wp:docPr id="2" name="Rectangle 2"/>
                      <wp:cNvGraphicFramePr/>
                      <a:graphic xmlns:a="http://schemas.openxmlformats.org/drawingml/2006/main">
                        <a:graphicData uri="http://schemas.microsoft.com/office/word/2010/wordprocessingShape">
                          <wps:wsp>
                            <wps:cNvSpPr/>
                            <wps:spPr>
                              <a:xfrm>
                                <a:off x="0" y="0"/>
                                <a:ext cx="3489960" cy="281940"/>
                              </a:xfrm>
                              <a:prstGeom prst="rect">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DBE9D70" id="Rectangle 2" o:spid="_x0000_s1026" style="position:absolute;margin-left:-142.05pt;margin-top:-1pt;width:274.8pt;height:22.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" filled="f" strokecolor="#0070c0" strokeweight="1.5pt"/>
                  </w:pict>
                </mc:Fallback>
              </mc:AlternateContent>
            </w:r>
            <w:r w:rsidR="00B70D9E" w:rsidRPr="00B70D9E">
              <w:rPr>
                <w:rFonts w:eastAsiaTheme="minorEastAsia"/>
                <w:color w:val="000000"/>
                <w:sz w:val="20"/>
                <w:szCs w:val="20"/>
                <w:lang w:bidi="ar-SA"/>
              </w:rPr>
              <w:t>0.181194</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85E1226"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0.232440</w:t>
            </w:r>
          </w:p>
        </w:tc>
      </w:tr>
      <w:tr w:rsidR="00B70D9E" w:rsidRPr="00B70D9E" w14:paraId="0B535A86" w14:textId="77777777" w:rsidTr="00B70D9E">
        <w:trPr>
          <w:cantSplit/>
          <w:trHeight w:val="427"/>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7470AF32"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3.000000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21FE169D" w14:textId="47CA22E7" w:rsidR="00B70D9E" w:rsidRPr="00B70D9E" w:rsidRDefault="00DE0E07" w:rsidP="00B70D9E">
            <w:pPr>
              <w:keepNext/>
              <w:autoSpaceDE w:val="0"/>
              <w:autoSpaceDN w:val="0"/>
              <w:adjustRightInd w:val="0"/>
              <w:spacing w:before="60" w:after="60"/>
              <w:jc w:val="right"/>
              <w:rPr>
                <w:rFonts w:eastAsiaTheme="minorEastAsia"/>
                <w:color w:val="000000"/>
                <w:sz w:val="20"/>
                <w:szCs w:val="20"/>
                <w:lang w:bidi="ar-SA"/>
              </w:rPr>
            </w:pPr>
            <w:r>
              <w:rPr>
                <w:rFonts w:eastAsiaTheme="minorEastAsia"/>
                <w:noProof/>
                <w:color w:val="000000"/>
                <w:sz w:val="20"/>
                <w:szCs w:val="20"/>
                <w:lang w:bidi="ar-SA"/>
              </w:rPr>
              <mc:AlternateContent>
                <mc:Choice Requires="wps">
                  <w:drawing>
                    <wp:anchor distT="0" distB="0" distL="114300" distR="114300" simplePos="0" relativeHeight="251659264" behindDoc="0" locked="0" layoutInCell="1" allowOverlap="1" wp14:anchorId="30A9C7A5" wp14:editId="1EA315B7">
                      <wp:simplePos x="0" y="0"/>
                      <wp:positionH relativeFrom="column">
                        <wp:posOffset>-844550</wp:posOffset>
                      </wp:positionH>
                      <wp:positionV relativeFrom="paragraph">
                        <wp:posOffset>-3810</wp:posOffset>
                      </wp:positionV>
                      <wp:extent cx="2598420" cy="281940"/>
                      <wp:effectExtent l="0" t="0" r="11430" b="22860"/>
                      <wp:wrapNone/>
                      <wp:docPr id="1" name="Rectangle 1"/>
                      <wp:cNvGraphicFramePr/>
                      <a:graphic xmlns:a="http://schemas.openxmlformats.org/drawingml/2006/main">
                        <a:graphicData uri="http://schemas.microsoft.com/office/word/2010/wordprocessingShape">
                          <wps:wsp>
                            <wps:cNvSpPr/>
                            <wps:spPr>
                              <a:xfrm>
                                <a:off x="0" y="0"/>
                                <a:ext cx="2598420" cy="2819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E6A9B1" id="Rectangle 1" o:spid="_x0000_s1026" style="position:absolute;margin-left:-66.5pt;margin-top:-.3pt;width:204.6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" filled="f" strokecolor="red" strokeweight="1.5pt"/>
                  </w:pict>
                </mc:Fallback>
              </mc:AlternateContent>
            </w:r>
            <w:r w:rsidR="00B70D9E" w:rsidRPr="00B70D9E">
              <w:rPr>
                <w:rFonts w:eastAsiaTheme="minorEastAsia"/>
                <w:color w:val="000000"/>
                <w:sz w:val="20"/>
                <w:szCs w:val="20"/>
                <w:lang w:bidi="ar-SA"/>
              </w:rPr>
              <w:t>0.126715</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2BB64BD8"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0.119565</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B8869E6"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0.160184</w:t>
            </w:r>
          </w:p>
        </w:tc>
      </w:tr>
      <w:tr w:rsidR="00B70D9E" w:rsidRPr="00B70D9E" w14:paraId="0D9F8351" w14:textId="77777777" w:rsidTr="00B70D9E">
        <w:trPr>
          <w:cantSplit/>
          <w:trHeight w:val="427"/>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17C4827A"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4.000000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68CE33D9"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-0.046820</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49A7E825"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0.059612</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981A4E3"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0.100665</w:t>
            </w:r>
          </w:p>
        </w:tc>
      </w:tr>
      <w:tr w:rsidR="00B70D9E" w:rsidRPr="00B70D9E" w14:paraId="439B6321" w14:textId="77777777" w:rsidTr="00B70D9E">
        <w:trPr>
          <w:cantSplit/>
          <w:trHeight w:val="413"/>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3B7D6EA7"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5.000000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560AC74C"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-0.090415</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768C8526"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0.009003</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7DCFB25"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0.037241</w:t>
            </w:r>
          </w:p>
        </w:tc>
      </w:tr>
      <w:tr w:rsidR="00B70D9E" w:rsidRPr="00B70D9E" w14:paraId="402DA909" w14:textId="77777777" w:rsidTr="00B70D9E">
        <w:trPr>
          <w:cantSplit/>
          <w:trHeight w:val="427"/>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3B36B4AB"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6.000000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3CBDC921"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-0.113539</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57D9DBFE"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-0.038157</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BD9736B"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-0.011246</w:t>
            </w:r>
          </w:p>
        </w:tc>
      </w:tr>
      <w:tr w:rsidR="00B70D9E" w:rsidRPr="00B70D9E" w14:paraId="545F6057" w14:textId="77777777" w:rsidTr="00B70D9E">
        <w:trPr>
          <w:cantSplit/>
          <w:trHeight w:val="413"/>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32BA9DF4"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7.000000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3C4A71C2"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-0.147892</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0EFAEA55"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-0.085952</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AFC83F6"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-0.052660</w:t>
            </w:r>
          </w:p>
        </w:tc>
      </w:tr>
      <w:tr w:rsidR="00B70D9E" w:rsidRPr="00B70D9E" w14:paraId="04B7876F" w14:textId="77777777" w:rsidTr="00B70D9E">
        <w:trPr>
          <w:cantSplit/>
          <w:trHeight w:val="427"/>
        </w:trPr>
        <w:tc>
          <w:tcPr>
            <w:tcW w:w="1261" w:type="dxa"/>
            <w:tcBorders>
              <w:top w:val="nil"/>
              <w:left w:val="single" w:sz="6" w:space="0" w:color="000000"/>
              <w:bottom w:val="single" w:sz="2" w:space="0" w:color="000000"/>
              <w:right w:val="nil"/>
            </w:tcBorders>
            <w:shd w:val="clear" w:color="auto" w:fill="FFFFFF"/>
            <w:tcMar>
              <w:left w:w="60" w:type="dxa"/>
              <w:right w:w="60" w:type="dxa"/>
            </w:tcMar>
          </w:tcPr>
          <w:p w14:paraId="69FFB9A0"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8.000000</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12812F08"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-0.178573</w:t>
            </w:r>
          </w:p>
        </w:tc>
        <w:tc>
          <w:tcPr>
            <w:tcW w:w="1342" w:type="dxa"/>
            <w:tcBorders>
              <w:top w:val="nil"/>
              <w:left w:val="single" w:sz="2" w:space="0" w:color="000000"/>
              <w:bottom w:val="single" w:sz="2" w:space="0" w:color="000000"/>
              <w:right w:val="nil"/>
            </w:tcBorders>
            <w:shd w:val="clear" w:color="auto" w:fill="FFFFFF"/>
            <w:tcMar>
              <w:left w:w="60" w:type="dxa"/>
              <w:right w:w="60" w:type="dxa"/>
            </w:tcMar>
          </w:tcPr>
          <w:p w14:paraId="00F5FBB5"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-0.134266</w:t>
            </w:r>
          </w:p>
        </w:tc>
        <w:tc>
          <w:tcPr>
            <w:tcW w:w="1342"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7C61243"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-0.093732</w:t>
            </w:r>
          </w:p>
        </w:tc>
      </w:tr>
      <w:tr w:rsidR="00B70D9E" w:rsidRPr="00B70D9E" w14:paraId="4CBA5FE3" w14:textId="77777777" w:rsidTr="00B70D9E">
        <w:trPr>
          <w:cantSplit/>
          <w:trHeight w:val="427"/>
        </w:trPr>
        <w:tc>
          <w:tcPr>
            <w:tcW w:w="1261" w:type="dxa"/>
            <w:tcBorders>
              <w:top w:val="nil"/>
              <w:left w:val="single" w:sz="6" w:space="0" w:color="000000"/>
              <w:bottom w:val="single" w:sz="6" w:space="0" w:color="000000"/>
              <w:right w:val="nil"/>
            </w:tcBorders>
            <w:shd w:val="clear" w:color="auto" w:fill="FFFFFF"/>
            <w:tcMar>
              <w:left w:w="60" w:type="dxa"/>
              <w:right w:w="60" w:type="dxa"/>
            </w:tcMar>
          </w:tcPr>
          <w:p w14:paraId="0FD36C58"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9.000000</w:t>
            </w:r>
          </w:p>
        </w:tc>
        <w:tc>
          <w:tcPr>
            <w:tcW w:w="1511" w:type="dxa"/>
            <w:tcBorders>
              <w:top w:val="nil"/>
              <w:left w:val="single" w:sz="2" w:space="0" w:color="000000"/>
              <w:bottom w:val="single" w:sz="6" w:space="0" w:color="000000"/>
              <w:right w:val="nil"/>
            </w:tcBorders>
            <w:shd w:val="clear" w:color="auto" w:fill="FFFFFF"/>
            <w:tcMar>
              <w:left w:w="60" w:type="dxa"/>
              <w:right w:w="60" w:type="dxa"/>
            </w:tcMar>
          </w:tcPr>
          <w:p w14:paraId="3CF0163B"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-0.236608</w:t>
            </w:r>
          </w:p>
        </w:tc>
        <w:tc>
          <w:tcPr>
            <w:tcW w:w="1342" w:type="dxa"/>
            <w:tcBorders>
              <w:top w:val="nil"/>
              <w:left w:val="single" w:sz="2" w:space="0" w:color="000000"/>
              <w:bottom w:val="single" w:sz="6" w:space="0" w:color="000000"/>
              <w:right w:val="nil"/>
            </w:tcBorders>
            <w:shd w:val="clear" w:color="auto" w:fill="FFFFFF"/>
            <w:tcMar>
              <w:left w:w="60" w:type="dxa"/>
              <w:right w:w="60" w:type="dxa"/>
            </w:tcMar>
          </w:tcPr>
          <w:p w14:paraId="619199FE"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-0.194430</w:t>
            </w:r>
          </w:p>
        </w:tc>
        <w:tc>
          <w:tcPr>
            <w:tcW w:w="1342"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29CD86D5" w14:textId="77777777" w:rsidR="00B70D9E" w:rsidRPr="00B70D9E" w:rsidRDefault="00B70D9E" w:rsidP="00B70D9E">
            <w:pPr>
              <w:keepNext/>
              <w:autoSpaceDE w:val="0"/>
              <w:autoSpaceDN w:val="0"/>
              <w:adjustRightInd w:val="0"/>
              <w:spacing w:before="60" w:after="60"/>
              <w:jc w:val="right"/>
              <w:rPr>
                <w:rFonts w:eastAsiaTheme="minorEastAsia"/>
                <w:color w:val="000000"/>
                <w:sz w:val="20"/>
                <w:szCs w:val="20"/>
                <w:lang w:bidi="ar-SA"/>
              </w:rPr>
            </w:pPr>
            <w:r w:rsidRPr="00B70D9E">
              <w:rPr>
                <w:rFonts w:eastAsiaTheme="minorEastAsia"/>
                <w:color w:val="000000"/>
                <w:sz w:val="20"/>
                <w:szCs w:val="20"/>
                <w:lang w:bidi="ar-SA"/>
              </w:rPr>
              <w:t>-0.152461</w:t>
            </w:r>
          </w:p>
        </w:tc>
      </w:tr>
    </w:tbl>
    <w:p w14:paraId="2A31206D" w14:textId="39C73F00" w:rsidR="00627E2E" w:rsidRDefault="00627E2E" w:rsidP="00627E2E">
      <w:pPr>
        <w:autoSpaceDE w:val="0"/>
        <w:autoSpaceDN w:val="0"/>
        <w:adjustRightInd w:val="0"/>
        <w:rPr>
          <w:rFonts w:ascii="Courier New" w:hAnsi="Courier New" w:cs="Courier New"/>
          <w:color w:val="000000"/>
          <w:sz w:val="20"/>
          <w:szCs w:val="20"/>
          <w:lang w:bidi="ar-SA"/>
        </w:rPr>
      </w:pPr>
    </w:p>
    <w:p w14:paraId="2BC8C635" w14:textId="77777777" w:rsidR="00B70D9E" w:rsidRDefault="00B70D9E" w:rsidP="00627E2E">
      <w:pPr>
        <w:autoSpaceDE w:val="0"/>
        <w:autoSpaceDN w:val="0"/>
        <w:adjustRightInd w:val="0"/>
        <w:rPr>
          <w:rFonts w:ascii="Courier New" w:hAnsi="Courier New" w:cs="Courier New"/>
          <w:color w:val="000000"/>
          <w:sz w:val="20"/>
          <w:szCs w:val="20"/>
          <w:lang w:bidi="ar-SA"/>
        </w:rPr>
      </w:pPr>
    </w:p>
    <w:p w14:paraId="0B0A6E5D" w14:textId="3C6E8E66" w:rsidR="00627E2E" w:rsidRPr="00421DF8" w:rsidRDefault="00627E2E" w:rsidP="00627E2E">
      <w:pPr>
        <w:autoSpaceDE w:val="0"/>
        <w:autoSpaceDN w:val="0"/>
        <w:adjustRightInd w:val="0"/>
        <w:rPr>
          <w:rFonts w:ascii="Arial" w:hAnsi="Arial" w:cs="Arial"/>
          <w:color w:val="000000"/>
          <w:lang w:bidi="ar-SA"/>
        </w:rPr>
      </w:pPr>
      <w:r w:rsidRPr="00421DF8">
        <w:rPr>
          <w:rFonts w:ascii="Arial" w:hAnsi="Arial" w:cs="Arial"/>
          <w:color w:val="000000"/>
          <w:lang w:bidi="ar-SA"/>
        </w:rPr>
        <w:t xml:space="preserve">The first column (labeled “root” which is another name for an eigenvalue) lists each factor by number. There will be as many of these as there are variables. </w:t>
      </w:r>
    </w:p>
    <w:p w14:paraId="14DABCE1" w14:textId="268CD137" w:rsidR="00627E2E" w:rsidRPr="00421DF8" w:rsidRDefault="00627E2E" w:rsidP="00627E2E">
      <w:pPr>
        <w:autoSpaceDE w:val="0"/>
        <w:autoSpaceDN w:val="0"/>
        <w:adjustRightInd w:val="0"/>
        <w:rPr>
          <w:rFonts w:ascii="Arial" w:hAnsi="Arial" w:cs="Arial"/>
          <w:color w:val="000000"/>
          <w:lang w:bidi="ar-SA"/>
        </w:rPr>
      </w:pPr>
    </w:p>
    <w:p w14:paraId="258715D2" w14:textId="69C2D7D9" w:rsidR="00627E2E" w:rsidRPr="00421DF8" w:rsidRDefault="00627E2E" w:rsidP="00627E2E">
      <w:pPr>
        <w:autoSpaceDE w:val="0"/>
        <w:autoSpaceDN w:val="0"/>
        <w:adjustRightInd w:val="0"/>
        <w:rPr>
          <w:rFonts w:ascii="Arial" w:hAnsi="Arial" w:cs="Arial"/>
          <w:color w:val="000000"/>
          <w:lang w:bidi="ar-SA"/>
        </w:rPr>
      </w:pPr>
      <w:r w:rsidRPr="00421DF8">
        <w:rPr>
          <w:rFonts w:ascii="Arial" w:hAnsi="Arial" w:cs="Arial"/>
          <w:color w:val="000000"/>
          <w:lang w:bidi="ar-SA"/>
        </w:rPr>
        <w:t>The second column (labeled “Raw Data”) shows the eigenvalues from your data (in this example, the Scientist data). These eigenvalues should be the same as those produced by running a factor analysis on the data.</w:t>
      </w:r>
    </w:p>
    <w:p w14:paraId="72DF9DEF" w14:textId="07BACE91" w:rsidR="00627E2E" w:rsidRDefault="00627E2E" w:rsidP="00627E2E">
      <w:pPr>
        <w:autoSpaceDE w:val="0"/>
        <w:autoSpaceDN w:val="0"/>
        <w:adjustRightInd w:val="0"/>
        <w:rPr>
          <w:rFonts w:ascii="Arial" w:hAnsi="Arial" w:cs="Arial"/>
          <w:b/>
          <w:bCs/>
          <w:i/>
          <w:iCs/>
          <w:color w:val="000000"/>
          <w:lang w:bidi="ar-SA"/>
        </w:rPr>
      </w:pPr>
    </w:p>
    <w:p w14:paraId="24934427" w14:textId="3507426E" w:rsidR="00627E2E" w:rsidRPr="00421DF8" w:rsidRDefault="00627E2E" w:rsidP="00627E2E">
      <w:pPr>
        <w:autoSpaceDE w:val="0"/>
        <w:autoSpaceDN w:val="0"/>
        <w:adjustRightInd w:val="0"/>
        <w:rPr>
          <w:rFonts w:ascii="Arial" w:hAnsi="Arial" w:cs="Arial"/>
          <w:color w:val="000000"/>
          <w:lang w:bidi="ar-SA"/>
        </w:rPr>
      </w:pPr>
      <w:r w:rsidRPr="00421DF8">
        <w:rPr>
          <w:rFonts w:ascii="Arial" w:hAnsi="Arial" w:cs="Arial"/>
          <w:color w:val="000000"/>
          <w:lang w:bidi="ar-SA"/>
        </w:rPr>
        <w:t>The third column shows the mean or average value of the random eigenvalues, and the last column (labeled “</w:t>
      </w:r>
      <w:proofErr w:type="spellStart"/>
      <w:r w:rsidRPr="00421DF8">
        <w:rPr>
          <w:rFonts w:ascii="Arial" w:hAnsi="Arial" w:cs="Arial"/>
          <w:color w:val="000000"/>
          <w:lang w:bidi="ar-SA"/>
        </w:rPr>
        <w:t>Prcntyle</w:t>
      </w:r>
      <w:proofErr w:type="spellEnd"/>
      <w:r w:rsidRPr="00421DF8">
        <w:rPr>
          <w:rFonts w:ascii="Arial" w:hAnsi="Arial" w:cs="Arial"/>
          <w:color w:val="000000"/>
          <w:lang w:bidi="ar-SA"/>
        </w:rPr>
        <w:t>”) shows the 95</w:t>
      </w:r>
      <w:r w:rsidRPr="00421DF8">
        <w:rPr>
          <w:rFonts w:ascii="Arial" w:hAnsi="Arial" w:cs="Arial"/>
          <w:color w:val="000000"/>
          <w:vertAlign w:val="superscript"/>
          <w:lang w:bidi="ar-SA"/>
        </w:rPr>
        <w:t>th</w:t>
      </w:r>
      <w:r w:rsidRPr="00421DF8">
        <w:rPr>
          <w:rFonts w:ascii="Arial" w:hAnsi="Arial" w:cs="Arial"/>
          <w:color w:val="000000"/>
          <w:lang w:bidi="ar-SA"/>
        </w:rPr>
        <w:t xml:space="preserve"> percentile of the random eigenvalues. </w:t>
      </w:r>
    </w:p>
    <w:p w14:paraId="2149799A" w14:textId="1ACAC351" w:rsidR="00627E2E" w:rsidRPr="00421DF8" w:rsidRDefault="00627E2E" w:rsidP="00627E2E">
      <w:pPr>
        <w:autoSpaceDE w:val="0"/>
        <w:autoSpaceDN w:val="0"/>
        <w:adjustRightInd w:val="0"/>
        <w:rPr>
          <w:rFonts w:ascii="Arial" w:hAnsi="Arial" w:cs="Arial"/>
          <w:color w:val="000000"/>
          <w:lang w:bidi="ar-SA"/>
        </w:rPr>
      </w:pPr>
    </w:p>
    <w:p w14:paraId="6FB3C101" w14:textId="75D0B1DF" w:rsidR="00627E2E" w:rsidRPr="00421DF8" w:rsidRDefault="00627E2E" w:rsidP="00627E2E">
      <w:pPr>
        <w:autoSpaceDE w:val="0"/>
        <w:autoSpaceDN w:val="0"/>
        <w:adjustRightInd w:val="0"/>
        <w:rPr>
          <w:rFonts w:ascii="Arial" w:hAnsi="Arial" w:cs="Arial"/>
          <w:color w:val="000000"/>
          <w:lang w:bidi="ar-SA"/>
        </w:rPr>
      </w:pPr>
      <w:r w:rsidRPr="00421DF8">
        <w:rPr>
          <w:rFonts w:ascii="Arial" w:hAnsi="Arial" w:cs="Arial"/>
          <w:color w:val="000000"/>
          <w:lang w:bidi="ar-SA"/>
        </w:rPr>
        <w:lastRenderedPageBreak/>
        <w:t>PA involves comparing the real data eigenvalues in the second column to either the mean (50</w:t>
      </w:r>
      <w:r w:rsidRPr="00421DF8">
        <w:rPr>
          <w:rFonts w:ascii="Arial" w:hAnsi="Arial" w:cs="Arial"/>
          <w:color w:val="000000"/>
          <w:vertAlign w:val="superscript"/>
          <w:lang w:bidi="ar-SA"/>
        </w:rPr>
        <w:t>th</w:t>
      </w:r>
      <w:r w:rsidRPr="00421DF8">
        <w:rPr>
          <w:rFonts w:ascii="Arial" w:hAnsi="Arial" w:cs="Arial"/>
          <w:color w:val="000000"/>
          <w:lang w:bidi="ar-SA"/>
        </w:rPr>
        <w:t xml:space="preserve"> percentile)</w:t>
      </w:r>
      <w:r w:rsidR="00F15697" w:rsidRPr="00421DF8">
        <w:rPr>
          <w:rFonts w:ascii="Arial" w:hAnsi="Arial" w:cs="Arial"/>
          <w:color w:val="000000"/>
          <w:lang w:bidi="ar-SA"/>
        </w:rPr>
        <w:t xml:space="preserve"> or 95</w:t>
      </w:r>
      <w:r w:rsidR="00F15697" w:rsidRPr="00421DF8">
        <w:rPr>
          <w:rFonts w:ascii="Arial" w:hAnsi="Arial" w:cs="Arial"/>
          <w:color w:val="000000"/>
          <w:vertAlign w:val="superscript"/>
          <w:lang w:bidi="ar-SA"/>
        </w:rPr>
        <w:t>th</w:t>
      </w:r>
      <w:r w:rsidR="00F15697" w:rsidRPr="00421DF8">
        <w:rPr>
          <w:rFonts w:ascii="Arial" w:hAnsi="Arial" w:cs="Arial"/>
          <w:color w:val="000000"/>
          <w:lang w:bidi="ar-SA"/>
        </w:rPr>
        <w:t xml:space="preserve"> percentile of the random eigenvalues.</w:t>
      </w:r>
    </w:p>
    <w:p w14:paraId="6244B870" w14:textId="0164876B" w:rsidR="00F15697" w:rsidRPr="00421DF8" w:rsidRDefault="00F15697" w:rsidP="00627E2E">
      <w:pPr>
        <w:autoSpaceDE w:val="0"/>
        <w:autoSpaceDN w:val="0"/>
        <w:adjustRightInd w:val="0"/>
        <w:rPr>
          <w:rFonts w:ascii="Arial" w:hAnsi="Arial" w:cs="Arial"/>
          <w:color w:val="000000"/>
          <w:lang w:bidi="ar-SA"/>
        </w:rPr>
      </w:pPr>
    </w:p>
    <w:p w14:paraId="584BBD3D" w14:textId="77777777" w:rsidR="00F15697" w:rsidRPr="00421DF8" w:rsidRDefault="00F15697" w:rsidP="00627E2E">
      <w:pPr>
        <w:autoSpaceDE w:val="0"/>
        <w:autoSpaceDN w:val="0"/>
        <w:adjustRightInd w:val="0"/>
        <w:rPr>
          <w:rFonts w:ascii="Arial" w:hAnsi="Arial" w:cs="Arial"/>
          <w:color w:val="000000"/>
          <w:lang w:bidi="ar-SA"/>
        </w:rPr>
      </w:pPr>
      <w:r w:rsidRPr="00421DF8">
        <w:rPr>
          <w:rFonts w:ascii="Arial" w:hAnsi="Arial" w:cs="Arial"/>
          <w:color w:val="000000"/>
          <w:lang w:bidi="ar-SA"/>
        </w:rPr>
        <w:t>Using the mean of the random data eigenvalues suggests three factors, because the first three values in the raw data column are greater than those in the “means” column.</w:t>
      </w:r>
    </w:p>
    <w:p w14:paraId="75A1E979" w14:textId="77777777" w:rsidR="00F15697" w:rsidRPr="00421DF8" w:rsidRDefault="00F15697" w:rsidP="00627E2E">
      <w:pPr>
        <w:autoSpaceDE w:val="0"/>
        <w:autoSpaceDN w:val="0"/>
        <w:adjustRightInd w:val="0"/>
        <w:rPr>
          <w:rFonts w:ascii="Arial" w:hAnsi="Arial" w:cs="Arial"/>
          <w:color w:val="000000"/>
          <w:lang w:bidi="ar-SA"/>
        </w:rPr>
      </w:pPr>
    </w:p>
    <w:p w14:paraId="5B87E017" w14:textId="728C4755" w:rsidR="00F15697" w:rsidRPr="00421DF8" w:rsidRDefault="00F15697" w:rsidP="00F15697">
      <w:pPr>
        <w:autoSpaceDE w:val="0"/>
        <w:autoSpaceDN w:val="0"/>
        <w:adjustRightInd w:val="0"/>
        <w:rPr>
          <w:rFonts w:ascii="Arial" w:hAnsi="Arial" w:cs="Arial"/>
          <w:color w:val="000000"/>
          <w:lang w:bidi="ar-SA"/>
        </w:rPr>
      </w:pPr>
      <w:r w:rsidRPr="00421DF8">
        <w:rPr>
          <w:rFonts w:ascii="Arial" w:hAnsi="Arial" w:cs="Arial"/>
          <w:color w:val="000000"/>
          <w:lang w:bidi="ar-SA"/>
        </w:rPr>
        <w:t>Using the 95</w:t>
      </w:r>
      <w:r w:rsidRPr="00421DF8">
        <w:rPr>
          <w:rFonts w:ascii="Arial" w:hAnsi="Arial" w:cs="Arial"/>
          <w:color w:val="000000"/>
          <w:vertAlign w:val="superscript"/>
          <w:lang w:bidi="ar-SA"/>
        </w:rPr>
        <w:t>th</w:t>
      </w:r>
      <w:r w:rsidRPr="00421DF8">
        <w:rPr>
          <w:rFonts w:ascii="Arial" w:hAnsi="Arial" w:cs="Arial"/>
          <w:color w:val="000000"/>
          <w:lang w:bidi="ar-SA"/>
        </w:rPr>
        <w:t xml:space="preserve"> percentile suggests two factors because the first two values in the raw data column are greater than those in the “</w:t>
      </w:r>
      <w:proofErr w:type="spellStart"/>
      <w:r w:rsidRPr="00421DF8">
        <w:rPr>
          <w:rFonts w:ascii="Arial" w:hAnsi="Arial" w:cs="Arial"/>
          <w:color w:val="000000"/>
          <w:lang w:bidi="ar-SA"/>
        </w:rPr>
        <w:t>Prcntyle</w:t>
      </w:r>
      <w:proofErr w:type="spellEnd"/>
      <w:r w:rsidRPr="00421DF8">
        <w:rPr>
          <w:rFonts w:ascii="Arial" w:hAnsi="Arial" w:cs="Arial"/>
          <w:color w:val="000000"/>
          <w:lang w:bidi="ar-SA"/>
        </w:rPr>
        <w:t>” column.</w:t>
      </w:r>
    </w:p>
    <w:p w14:paraId="0A996BC3" w14:textId="77777777" w:rsidR="00B70D9E" w:rsidRPr="00421DF8" w:rsidRDefault="00B70D9E" w:rsidP="00F15697">
      <w:pPr>
        <w:autoSpaceDE w:val="0"/>
        <w:autoSpaceDN w:val="0"/>
        <w:adjustRightInd w:val="0"/>
        <w:rPr>
          <w:rFonts w:ascii="Arial" w:hAnsi="Arial" w:cs="Arial"/>
          <w:color w:val="000000"/>
          <w:lang w:bidi="ar-SA"/>
        </w:rPr>
      </w:pPr>
    </w:p>
    <w:p w14:paraId="7C3C2FD0" w14:textId="295A92EA" w:rsidR="00F15697" w:rsidRPr="00421DF8" w:rsidRDefault="00F15697" w:rsidP="00F15697">
      <w:pPr>
        <w:autoSpaceDE w:val="0"/>
        <w:autoSpaceDN w:val="0"/>
        <w:adjustRightInd w:val="0"/>
        <w:rPr>
          <w:rFonts w:ascii="Arial" w:hAnsi="Arial" w:cs="Arial"/>
          <w:color w:val="000000"/>
          <w:lang w:bidi="ar-SA"/>
        </w:rPr>
      </w:pPr>
      <w:r w:rsidRPr="00421DF8">
        <w:rPr>
          <w:rFonts w:ascii="Arial" w:hAnsi="Arial" w:cs="Arial"/>
          <w:color w:val="000000"/>
          <w:lang w:bidi="ar-SA"/>
        </w:rPr>
        <w:t>Common practice is to use the 95</w:t>
      </w:r>
      <w:r w:rsidRPr="00421DF8">
        <w:rPr>
          <w:rFonts w:ascii="Arial" w:hAnsi="Arial" w:cs="Arial"/>
          <w:color w:val="000000"/>
          <w:vertAlign w:val="superscript"/>
          <w:lang w:bidi="ar-SA"/>
        </w:rPr>
        <w:t>th</w:t>
      </w:r>
      <w:r w:rsidRPr="00421DF8">
        <w:rPr>
          <w:rFonts w:ascii="Arial" w:hAnsi="Arial" w:cs="Arial"/>
          <w:color w:val="000000"/>
          <w:lang w:bidi="ar-SA"/>
        </w:rPr>
        <w:t xml:space="preserve"> percentile. However, if results based on the mean and 95</w:t>
      </w:r>
      <w:r w:rsidRPr="00421DF8">
        <w:rPr>
          <w:rFonts w:ascii="Arial" w:hAnsi="Arial" w:cs="Arial"/>
          <w:color w:val="000000"/>
          <w:vertAlign w:val="superscript"/>
          <w:lang w:bidi="ar-SA"/>
        </w:rPr>
        <w:t>th</w:t>
      </w:r>
      <w:r w:rsidRPr="00421DF8">
        <w:rPr>
          <w:rFonts w:ascii="Arial" w:hAnsi="Arial" w:cs="Arial"/>
          <w:color w:val="000000"/>
          <w:lang w:bidi="ar-SA"/>
        </w:rPr>
        <w:t xml:space="preserve"> percentiles disagree, best practice would be to examine solutions based on both numbers of factors and to decide based on a) agreement with other criteria for determining the number of factors, such as the scree plot, and b) the interpretability and utility of the resulting factors.</w:t>
      </w:r>
    </w:p>
    <w:p w14:paraId="12C2F4DA" w14:textId="5C37FA81" w:rsidR="00F15697" w:rsidRPr="00421DF8" w:rsidRDefault="00F15697" w:rsidP="00F15697">
      <w:pPr>
        <w:autoSpaceDE w:val="0"/>
        <w:autoSpaceDN w:val="0"/>
        <w:adjustRightInd w:val="0"/>
        <w:rPr>
          <w:rFonts w:ascii="Arial" w:hAnsi="Arial" w:cs="Arial"/>
          <w:color w:val="000000"/>
          <w:lang w:bidi="ar-SA"/>
        </w:rPr>
      </w:pPr>
    </w:p>
    <w:p w14:paraId="6A920040" w14:textId="26EE78DE" w:rsidR="00F15697" w:rsidRPr="00421DF8" w:rsidRDefault="00F15697" w:rsidP="00F15697">
      <w:pPr>
        <w:autoSpaceDE w:val="0"/>
        <w:autoSpaceDN w:val="0"/>
        <w:adjustRightInd w:val="0"/>
        <w:rPr>
          <w:rFonts w:ascii="Arial" w:hAnsi="Arial" w:cs="Arial"/>
          <w:color w:val="000000"/>
          <w:lang w:bidi="ar-SA"/>
        </w:rPr>
      </w:pPr>
      <w:r w:rsidRPr="00421DF8">
        <w:rPr>
          <w:rFonts w:ascii="Arial" w:hAnsi="Arial" w:cs="Arial"/>
          <w:color w:val="000000"/>
          <w:lang w:bidi="ar-SA"/>
        </w:rPr>
        <w:t>The text below was included by O’Connor and appears at the end of each PA analysis from the macro.</w:t>
      </w:r>
    </w:p>
    <w:p w14:paraId="08ABC879" w14:textId="06ACC1A1" w:rsidR="00F15697" w:rsidRDefault="00F15697" w:rsidP="00627E2E">
      <w:pPr>
        <w:autoSpaceDE w:val="0"/>
        <w:autoSpaceDN w:val="0"/>
        <w:adjustRightInd w:val="0"/>
        <w:rPr>
          <w:rFonts w:ascii="Arial" w:hAnsi="Arial" w:cs="Arial"/>
          <w:b/>
          <w:bCs/>
          <w:i/>
          <w:iCs/>
          <w:color w:val="000000"/>
          <w:lang w:bidi="ar-SA"/>
        </w:rPr>
      </w:pPr>
    </w:p>
    <w:p w14:paraId="0342FDC8" w14:textId="4A5CEB7C" w:rsidR="00627E2E" w:rsidRPr="00627E2E" w:rsidRDefault="00627E2E" w:rsidP="00627E2E">
      <w:pPr>
        <w:autoSpaceDE w:val="0"/>
        <w:autoSpaceDN w:val="0"/>
        <w:adjustRightInd w:val="0"/>
        <w:rPr>
          <w:rFonts w:ascii="Arial" w:hAnsi="Arial" w:cs="Arial"/>
          <w:b/>
          <w:bCs/>
          <w:i/>
          <w:iCs/>
          <w:color w:val="00000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960"/>
      </w:tblGrid>
      <w:tr w:rsidR="0012612E" w:rsidRPr="0012612E" w14:paraId="46002A73" w14:textId="77777777" w:rsidTr="00891BF9">
        <w:trPr>
          <w:cantSplit/>
        </w:trPr>
        <w:tc>
          <w:tcPr>
            <w:tcW w:w="4960"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254793DC"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r w:rsidRPr="0012612E">
              <w:rPr>
                <w:rFonts w:eastAsiaTheme="minorEastAsia"/>
                <w:color w:val="000000"/>
                <w:sz w:val="20"/>
                <w:szCs w:val="20"/>
                <w:lang w:bidi="ar-SA"/>
              </w:rPr>
              <w:t>Warning: Parallel analyses of adjusted correlation matrices</w:t>
            </w:r>
          </w:p>
        </w:tc>
      </w:tr>
    </w:tbl>
    <w:p w14:paraId="0F695B37"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103"/>
      </w:tblGrid>
      <w:tr w:rsidR="0012612E" w:rsidRPr="0012612E" w14:paraId="574FD8AE" w14:textId="77777777" w:rsidTr="00891BF9">
        <w:trPr>
          <w:cantSplit/>
        </w:trPr>
        <w:tc>
          <w:tcPr>
            <w:tcW w:w="5103"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57DD13DD"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 w:name="IDX7"/>
            <w:bookmarkEnd w:id="1"/>
            <w:proofErr w:type="spellStart"/>
            <w:r w:rsidRPr="0012612E">
              <w:rPr>
                <w:rFonts w:eastAsiaTheme="minorEastAsia"/>
                <w:color w:val="000000"/>
                <w:sz w:val="20"/>
                <w:szCs w:val="20"/>
                <w:lang w:bidi="ar-SA"/>
              </w:rPr>
              <w:t>eg</w:t>
            </w:r>
            <w:proofErr w:type="spellEnd"/>
            <w:r w:rsidRPr="0012612E">
              <w:rPr>
                <w:rFonts w:eastAsiaTheme="minorEastAsia"/>
                <w:color w:val="000000"/>
                <w:sz w:val="20"/>
                <w:szCs w:val="20"/>
                <w:lang w:bidi="ar-SA"/>
              </w:rPr>
              <w:t>, with SMCs on the diagonal, tend to indicate more factors</w:t>
            </w:r>
          </w:p>
        </w:tc>
      </w:tr>
    </w:tbl>
    <w:p w14:paraId="2D386B6C"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823"/>
      </w:tblGrid>
      <w:tr w:rsidR="0012612E" w:rsidRPr="0012612E" w14:paraId="3CCAA5CA" w14:textId="77777777" w:rsidTr="00891BF9">
        <w:trPr>
          <w:cantSplit/>
        </w:trPr>
        <w:tc>
          <w:tcPr>
            <w:tcW w:w="5823"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687DCA66"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 w:name="IDX8"/>
            <w:bookmarkEnd w:id="2"/>
            <w:r w:rsidRPr="0012612E">
              <w:rPr>
                <w:rFonts w:eastAsiaTheme="minorEastAsia"/>
                <w:color w:val="000000"/>
                <w:sz w:val="20"/>
                <w:szCs w:val="20"/>
                <w:lang w:bidi="ar-SA"/>
              </w:rPr>
              <w:t>than warranted (</w:t>
            </w:r>
            <w:proofErr w:type="spellStart"/>
            <w:r w:rsidRPr="0012612E">
              <w:rPr>
                <w:rFonts w:eastAsiaTheme="minorEastAsia"/>
                <w:color w:val="000000"/>
                <w:sz w:val="20"/>
                <w:szCs w:val="20"/>
                <w:lang w:bidi="ar-SA"/>
              </w:rPr>
              <w:t>Buja</w:t>
            </w:r>
            <w:proofErr w:type="spellEnd"/>
            <w:r w:rsidRPr="0012612E">
              <w:rPr>
                <w:rFonts w:eastAsiaTheme="minorEastAsia"/>
                <w:color w:val="000000"/>
                <w:sz w:val="20"/>
                <w:szCs w:val="20"/>
                <w:lang w:bidi="ar-SA"/>
              </w:rPr>
              <w:t xml:space="preserve">, A., &amp; </w:t>
            </w:r>
            <w:proofErr w:type="spellStart"/>
            <w:r w:rsidRPr="0012612E">
              <w:rPr>
                <w:rFonts w:eastAsiaTheme="minorEastAsia"/>
                <w:color w:val="000000"/>
                <w:sz w:val="20"/>
                <w:szCs w:val="20"/>
                <w:lang w:bidi="ar-SA"/>
              </w:rPr>
              <w:t>Eyuboglu</w:t>
            </w:r>
            <w:proofErr w:type="spellEnd"/>
            <w:r w:rsidRPr="0012612E">
              <w:rPr>
                <w:rFonts w:eastAsiaTheme="minorEastAsia"/>
                <w:color w:val="000000"/>
                <w:sz w:val="20"/>
                <w:szCs w:val="20"/>
                <w:lang w:bidi="ar-SA"/>
              </w:rPr>
              <w:t>, N., 1992, Remarks on parallel</w:t>
            </w:r>
          </w:p>
        </w:tc>
      </w:tr>
    </w:tbl>
    <w:p w14:paraId="4546FE17"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916"/>
      </w:tblGrid>
      <w:tr w:rsidR="0012612E" w:rsidRPr="0012612E" w14:paraId="2A914517" w14:textId="77777777" w:rsidTr="00891BF9">
        <w:trPr>
          <w:cantSplit/>
        </w:trPr>
        <w:tc>
          <w:tcPr>
            <w:tcW w:w="4916"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4F8E8BAD"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3" w:name="IDX9"/>
            <w:bookmarkEnd w:id="3"/>
            <w:r w:rsidRPr="0012612E">
              <w:rPr>
                <w:rFonts w:eastAsiaTheme="minorEastAsia"/>
                <w:color w:val="000000"/>
                <w:sz w:val="20"/>
                <w:szCs w:val="20"/>
                <w:lang w:bidi="ar-SA"/>
              </w:rPr>
              <w:t>analysis. Multivariate Behavioral Research, 27, 509-540.).</w:t>
            </w:r>
          </w:p>
        </w:tc>
      </w:tr>
    </w:tbl>
    <w:p w14:paraId="221443A5"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694"/>
      </w:tblGrid>
      <w:tr w:rsidR="0012612E" w:rsidRPr="0012612E" w14:paraId="3F22966A" w14:textId="77777777" w:rsidTr="00891BF9">
        <w:trPr>
          <w:cantSplit/>
        </w:trPr>
        <w:tc>
          <w:tcPr>
            <w:tcW w:w="4694"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7E73E4EF"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4" w:name="IDX10"/>
            <w:bookmarkEnd w:id="4"/>
            <w:r w:rsidRPr="0012612E">
              <w:rPr>
                <w:rFonts w:eastAsiaTheme="minorEastAsia"/>
                <w:color w:val="000000"/>
                <w:sz w:val="20"/>
                <w:szCs w:val="20"/>
                <w:lang w:bidi="ar-SA"/>
              </w:rPr>
              <w:t>The eigenvalues for trivial, negligible factors in the real</w:t>
            </w:r>
          </w:p>
        </w:tc>
      </w:tr>
    </w:tbl>
    <w:p w14:paraId="2CF1486F"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352"/>
      </w:tblGrid>
      <w:tr w:rsidR="0012612E" w:rsidRPr="0012612E" w14:paraId="786BD532" w14:textId="77777777" w:rsidTr="00891BF9">
        <w:trPr>
          <w:cantSplit/>
        </w:trPr>
        <w:tc>
          <w:tcPr>
            <w:tcW w:w="5352"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3F74A1B1"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5" w:name="IDX11"/>
            <w:bookmarkEnd w:id="5"/>
            <w:r w:rsidRPr="0012612E">
              <w:rPr>
                <w:rFonts w:eastAsiaTheme="minorEastAsia"/>
                <w:color w:val="000000"/>
                <w:sz w:val="20"/>
                <w:szCs w:val="20"/>
                <w:lang w:bidi="ar-SA"/>
              </w:rPr>
              <w:t>data commonly surpass corresponding random data eigenvalues</w:t>
            </w:r>
          </w:p>
        </w:tc>
      </w:tr>
    </w:tbl>
    <w:p w14:paraId="5BDECD75"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895"/>
      </w:tblGrid>
      <w:tr w:rsidR="0012612E" w:rsidRPr="0012612E" w14:paraId="0C1F77D0" w14:textId="77777777" w:rsidTr="00891BF9">
        <w:trPr>
          <w:cantSplit/>
        </w:trPr>
        <w:tc>
          <w:tcPr>
            <w:tcW w:w="4895"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0D7CE9BC"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6" w:name="IDX12"/>
            <w:bookmarkEnd w:id="6"/>
            <w:r w:rsidRPr="0012612E">
              <w:rPr>
                <w:rFonts w:eastAsiaTheme="minorEastAsia"/>
                <w:color w:val="000000"/>
                <w:sz w:val="20"/>
                <w:szCs w:val="20"/>
                <w:lang w:bidi="ar-SA"/>
              </w:rPr>
              <w:t>for the same roots. The eigenvalues from parallel analyses</w:t>
            </w:r>
          </w:p>
        </w:tc>
      </w:tr>
    </w:tbl>
    <w:p w14:paraId="2E4427FA"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890"/>
      </w:tblGrid>
      <w:tr w:rsidR="0012612E" w:rsidRPr="0012612E" w14:paraId="2F255064" w14:textId="77777777" w:rsidTr="00891BF9">
        <w:trPr>
          <w:cantSplit/>
        </w:trPr>
        <w:tc>
          <w:tcPr>
            <w:tcW w:w="4890"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07BE6B41"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7" w:name="IDX13"/>
            <w:bookmarkEnd w:id="7"/>
            <w:r w:rsidRPr="0012612E">
              <w:rPr>
                <w:rFonts w:eastAsiaTheme="minorEastAsia"/>
                <w:color w:val="000000"/>
                <w:sz w:val="20"/>
                <w:szCs w:val="20"/>
                <w:lang w:bidi="ar-SA"/>
              </w:rPr>
              <w:t>can be used to determine the real data eigenvalues that are</w:t>
            </w:r>
          </w:p>
        </w:tc>
      </w:tr>
    </w:tbl>
    <w:p w14:paraId="4589D383"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203"/>
      </w:tblGrid>
      <w:tr w:rsidR="0012612E" w:rsidRPr="0012612E" w14:paraId="0CA004DD" w14:textId="77777777" w:rsidTr="00891BF9">
        <w:trPr>
          <w:cantSplit/>
        </w:trPr>
        <w:tc>
          <w:tcPr>
            <w:tcW w:w="5203"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5384117F"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8" w:name="IDX14"/>
            <w:bookmarkEnd w:id="8"/>
            <w:r w:rsidRPr="0012612E">
              <w:rPr>
                <w:rFonts w:eastAsiaTheme="minorEastAsia"/>
                <w:color w:val="000000"/>
                <w:sz w:val="20"/>
                <w:szCs w:val="20"/>
                <w:lang w:bidi="ar-SA"/>
              </w:rPr>
              <w:t>beyond chance, but additional procedures should then be used</w:t>
            </w:r>
          </w:p>
        </w:tc>
      </w:tr>
    </w:tbl>
    <w:p w14:paraId="71E74FF3"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1883"/>
      </w:tblGrid>
      <w:tr w:rsidR="0012612E" w:rsidRPr="0012612E" w14:paraId="73D08B42" w14:textId="77777777" w:rsidTr="00891BF9">
        <w:trPr>
          <w:cantSplit/>
        </w:trPr>
        <w:tc>
          <w:tcPr>
            <w:tcW w:w="1883"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51F309EC"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9" w:name="IDX15"/>
            <w:bookmarkEnd w:id="9"/>
            <w:r w:rsidRPr="0012612E">
              <w:rPr>
                <w:rFonts w:eastAsiaTheme="minorEastAsia"/>
                <w:color w:val="000000"/>
                <w:sz w:val="20"/>
                <w:szCs w:val="20"/>
                <w:lang w:bidi="ar-SA"/>
              </w:rPr>
              <w:t>to trim trivial factors.</w:t>
            </w:r>
          </w:p>
        </w:tc>
      </w:tr>
    </w:tbl>
    <w:p w14:paraId="227B4BBA"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199"/>
      </w:tblGrid>
      <w:tr w:rsidR="0012612E" w:rsidRPr="0012612E" w14:paraId="122EA9F5" w14:textId="77777777" w:rsidTr="00891BF9">
        <w:trPr>
          <w:cantSplit/>
        </w:trPr>
        <w:tc>
          <w:tcPr>
            <w:tcW w:w="5199"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6F14F602"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0" w:name="IDX16"/>
            <w:bookmarkEnd w:id="10"/>
            <w:r w:rsidRPr="0012612E">
              <w:rPr>
                <w:rFonts w:eastAsiaTheme="minorEastAsia"/>
                <w:color w:val="000000"/>
                <w:sz w:val="20"/>
                <w:szCs w:val="20"/>
                <w:lang w:bidi="ar-SA"/>
              </w:rPr>
              <w:t>Principal components eigenvalues are often used to determine</w:t>
            </w:r>
          </w:p>
        </w:tc>
      </w:tr>
    </w:tbl>
    <w:p w14:paraId="233ADFF7"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877"/>
      </w:tblGrid>
      <w:tr w:rsidR="0012612E" w:rsidRPr="0012612E" w14:paraId="62774364" w14:textId="77777777" w:rsidTr="00891BF9">
        <w:trPr>
          <w:cantSplit/>
        </w:trPr>
        <w:tc>
          <w:tcPr>
            <w:tcW w:w="4877"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24AED6E8"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1" w:name="IDX17"/>
            <w:bookmarkEnd w:id="11"/>
            <w:r w:rsidRPr="0012612E">
              <w:rPr>
                <w:rFonts w:eastAsiaTheme="minorEastAsia"/>
                <w:color w:val="000000"/>
                <w:sz w:val="20"/>
                <w:szCs w:val="20"/>
                <w:lang w:bidi="ar-SA"/>
              </w:rPr>
              <w:t>the number of common factors. This is the default in most</w:t>
            </w:r>
          </w:p>
        </w:tc>
      </w:tr>
    </w:tbl>
    <w:p w14:paraId="14614D9D"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911"/>
      </w:tblGrid>
      <w:tr w:rsidR="0012612E" w:rsidRPr="0012612E" w14:paraId="23A7DD4B" w14:textId="77777777" w:rsidTr="00891BF9">
        <w:trPr>
          <w:cantSplit/>
        </w:trPr>
        <w:tc>
          <w:tcPr>
            <w:tcW w:w="4911"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73EB444B"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2" w:name="IDX18"/>
            <w:bookmarkEnd w:id="12"/>
            <w:r w:rsidRPr="0012612E">
              <w:rPr>
                <w:rFonts w:eastAsiaTheme="minorEastAsia"/>
                <w:color w:val="000000"/>
                <w:sz w:val="20"/>
                <w:szCs w:val="20"/>
                <w:lang w:bidi="ar-SA"/>
              </w:rPr>
              <w:t>statistical software packages, and it is the primary practice</w:t>
            </w:r>
          </w:p>
        </w:tc>
      </w:tr>
    </w:tbl>
    <w:p w14:paraId="79E15D62"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859"/>
      </w:tblGrid>
      <w:tr w:rsidR="0012612E" w:rsidRPr="0012612E" w14:paraId="083C583D" w14:textId="77777777" w:rsidTr="00891BF9">
        <w:trPr>
          <w:cantSplit/>
        </w:trPr>
        <w:tc>
          <w:tcPr>
            <w:tcW w:w="4859"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55C88252"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3" w:name="IDX19"/>
            <w:bookmarkEnd w:id="13"/>
            <w:r w:rsidRPr="0012612E">
              <w:rPr>
                <w:rFonts w:eastAsiaTheme="minorEastAsia"/>
                <w:color w:val="000000"/>
                <w:sz w:val="20"/>
                <w:szCs w:val="20"/>
                <w:lang w:bidi="ar-SA"/>
              </w:rPr>
              <w:lastRenderedPageBreak/>
              <w:t>in the literature. It is also the method used by many factor</w:t>
            </w:r>
          </w:p>
        </w:tc>
      </w:tr>
    </w:tbl>
    <w:p w14:paraId="0E11C47A"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675"/>
      </w:tblGrid>
      <w:tr w:rsidR="0012612E" w:rsidRPr="0012612E" w14:paraId="72BD4925" w14:textId="77777777" w:rsidTr="00891BF9">
        <w:trPr>
          <w:cantSplit/>
        </w:trPr>
        <w:tc>
          <w:tcPr>
            <w:tcW w:w="4675"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5AAB2528"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4" w:name="IDX20"/>
            <w:bookmarkEnd w:id="14"/>
            <w:r w:rsidRPr="0012612E">
              <w:rPr>
                <w:rFonts w:eastAsiaTheme="minorEastAsia"/>
                <w:color w:val="000000"/>
                <w:sz w:val="20"/>
                <w:szCs w:val="20"/>
                <w:lang w:bidi="ar-SA"/>
              </w:rPr>
              <w:t>analysis experts, including Cattell, who often examined</w:t>
            </w:r>
          </w:p>
        </w:tc>
      </w:tr>
    </w:tbl>
    <w:p w14:paraId="62ABF392"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411"/>
      </w:tblGrid>
      <w:tr w:rsidR="0012612E" w:rsidRPr="0012612E" w14:paraId="589CD1B8" w14:textId="77777777" w:rsidTr="00891BF9">
        <w:trPr>
          <w:cantSplit/>
        </w:trPr>
        <w:tc>
          <w:tcPr>
            <w:tcW w:w="5411"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79AC0DDD"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5" w:name="IDX21"/>
            <w:bookmarkEnd w:id="15"/>
            <w:r w:rsidRPr="0012612E">
              <w:rPr>
                <w:rFonts w:eastAsiaTheme="minorEastAsia"/>
                <w:color w:val="000000"/>
                <w:sz w:val="20"/>
                <w:szCs w:val="20"/>
                <w:lang w:bidi="ar-SA"/>
              </w:rPr>
              <w:t>principal components eigenvalues in his scree plots to determine</w:t>
            </w:r>
          </w:p>
        </w:tc>
      </w:tr>
    </w:tbl>
    <w:p w14:paraId="13265231"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345"/>
      </w:tblGrid>
      <w:tr w:rsidR="0012612E" w:rsidRPr="0012612E" w14:paraId="7036CD35" w14:textId="77777777" w:rsidTr="00891BF9">
        <w:trPr>
          <w:cantSplit/>
        </w:trPr>
        <w:tc>
          <w:tcPr>
            <w:tcW w:w="5345"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402BED2E"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6" w:name="IDX22"/>
            <w:bookmarkEnd w:id="16"/>
            <w:r w:rsidRPr="0012612E">
              <w:rPr>
                <w:rFonts w:eastAsiaTheme="minorEastAsia"/>
                <w:color w:val="000000"/>
                <w:sz w:val="20"/>
                <w:szCs w:val="20"/>
                <w:lang w:bidi="ar-SA"/>
              </w:rPr>
              <w:t>the number of common factors. But others believe this common</w:t>
            </w:r>
          </w:p>
        </w:tc>
      </w:tr>
    </w:tbl>
    <w:p w14:paraId="016B5FBF"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252"/>
      </w:tblGrid>
      <w:tr w:rsidR="0012612E" w:rsidRPr="0012612E" w14:paraId="5DB95D5F" w14:textId="77777777" w:rsidTr="00891BF9">
        <w:trPr>
          <w:cantSplit/>
        </w:trPr>
        <w:tc>
          <w:tcPr>
            <w:tcW w:w="5252"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0F44CEAC"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7" w:name="IDX23"/>
            <w:bookmarkEnd w:id="17"/>
            <w:r w:rsidRPr="0012612E">
              <w:rPr>
                <w:rFonts w:eastAsiaTheme="minorEastAsia"/>
                <w:color w:val="000000"/>
                <w:sz w:val="20"/>
                <w:szCs w:val="20"/>
                <w:lang w:bidi="ar-SA"/>
              </w:rPr>
              <w:t>practice is wrong. Principal components eigenvalues are based</w:t>
            </w:r>
          </w:p>
        </w:tc>
      </w:tr>
    </w:tbl>
    <w:p w14:paraId="2B3FF665"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038"/>
      </w:tblGrid>
      <w:tr w:rsidR="0012612E" w:rsidRPr="0012612E" w14:paraId="4E9BFDDA" w14:textId="77777777" w:rsidTr="00891BF9">
        <w:trPr>
          <w:cantSplit/>
        </w:trPr>
        <w:tc>
          <w:tcPr>
            <w:tcW w:w="5038"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4FDC39A3"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8" w:name="IDX24"/>
            <w:bookmarkEnd w:id="18"/>
            <w:r w:rsidRPr="0012612E">
              <w:rPr>
                <w:rFonts w:eastAsiaTheme="minorEastAsia"/>
                <w:color w:val="000000"/>
                <w:sz w:val="20"/>
                <w:szCs w:val="20"/>
                <w:lang w:bidi="ar-SA"/>
              </w:rPr>
              <w:t>on all of the variance in correlation matrices, including both</w:t>
            </w:r>
          </w:p>
        </w:tc>
      </w:tr>
    </w:tbl>
    <w:p w14:paraId="516673A7"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123"/>
      </w:tblGrid>
      <w:tr w:rsidR="0012612E" w:rsidRPr="0012612E" w14:paraId="72D59CBD" w14:textId="77777777" w:rsidTr="00891BF9">
        <w:trPr>
          <w:cantSplit/>
        </w:trPr>
        <w:tc>
          <w:tcPr>
            <w:tcW w:w="5123"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626FB73D"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19" w:name="IDX25"/>
            <w:bookmarkEnd w:id="19"/>
            <w:r w:rsidRPr="0012612E">
              <w:rPr>
                <w:rFonts w:eastAsiaTheme="minorEastAsia"/>
                <w:color w:val="000000"/>
                <w:sz w:val="20"/>
                <w:szCs w:val="20"/>
                <w:lang w:bidi="ar-SA"/>
              </w:rPr>
              <w:t>the variance that is shared among variables and the variances</w:t>
            </w:r>
          </w:p>
        </w:tc>
      </w:tr>
    </w:tbl>
    <w:p w14:paraId="07EAE8FD"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451"/>
      </w:tblGrid>
      <w:tr w:rsidR="0012612E" w:rsidRPr="0012612E" w14:paraId="3B14E931" w14:textId="77777777" w:rsidTr="00891BF9">
        <w:trPr>
          <w:cantSplit/>
        </w:trPr>
        <w:tc>
          <w:tcPr>
            <w:tcW w:w="4451"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59F8DBCB"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0" w:name="IDX26"/>
            <w:bookmarkEnd w:id="20"/>
            <w:r w:rsidRPr="0012612E">
              <w:rPr>
                <w:rFonts w:eastAsiaTheme="minorEastAsia"/>
                <w:color w:val="000000"/>
                <w:sz w:val="20"/>
                <w:szCs w:val="20"/>
                <w:lang w:bidi="ar-SA"/>
              </w:rPr>
              <w:t>that are unique to the variables. In contrast, principal</w:t>
            </w:r>
          </w:p>
        </w:tc>
      </w:tr>
    </w:tbl>
    <w:p w14:paraId="2C42CC9A"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723"/>
      </w:tblGrid>
      <w:tr w:rsidR="0012612E" w:rsidRPr="0012612E" w14:paraId="0E46BA4B" w14:textId="77777777" w:rsidTr="00891BF9">
        <w:trPr>
          <w:cantSplit/>
        </w:trPr>
        <w:tc>
          <w:tcPr>
            <w:tcW w:w="4723"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19AFF495"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1" w:name="IDX27"/>
            <w:bookmarkEnd w:id="21"/>
            <w:r w:rsidRPr="0012612E">
              <w:rPr>
                <w:rFonts w:eastAsiaTheme="minorEastAsia"/>
                <w:color w:val="000000"/>
                <w:sz w:val="20"/>
                <w:szCs w:val="20"/>
                <w:lang w:bidi="ar-SA"/>
              </w:rPr>
              <w:t>axis eigenvalues are based solely on the shared variance</w:t>
            </w:r>
          </w:p>
        </w:tc>
      </w:tr>
    </w:tbl>
    <w:p w14:paraId="4A6591A2"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881"/>
      </w:tblGrid>
      <w:tr w:rsidR="0012612E" w:rsidRPr="0012612E" w14:paraId="0ECE155F" w14:textId="77777777" w:rsidTr="00891BF9">
        <w:trPr>
          <w:cantSplit/>
        </w:trPr>
        <w:tc>
          <w:tcPr>
            <w:tcW w:w="4881"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3590CB25"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2" w:name="IDX28"/>
            <w:bookmarkEnd w:id="22"/>
            <w:r w:rsidRPr="0012612E">
              <w:rPr>
                <w:rFonts w:eastAsiaTheme="minorEastAsia"/>
                <w:color w:val="000000"/>
                <w:sz w:val="20"/>
                <w:szCs w:val="20"/>
                <w:lang w:bidi="ar-SA"/>
              </w:rPr>
              <w:t>among the variables. The two procedures are qualitatively</w:t>
            </w:r>
          </w:p>
        </w:tc>
      </w:tr>
    </w:tbl>
    <w:p w14:paraId="1316A991"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5162"/>
      </w:tblGrid>
      <w:tr w:rsidR="0012612E" w:rsidRPr="0012612E" w14:paraId="6391D8A7" w14:textId="77777777" w:rsidTr="00891BF9">
        <w:trPr>
          <w:cantSplit/>
        </w:trPr>
        <w:tc>
          <w:tcPr>
            <w:tcW w:w="5162"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6773E129"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3" w:name="IDX29"/>
            <w:bookmarkEnd w:id="23"/>
            <w:r w:rsidRPr="0012612E">
              <w:rPr>
                <w:rFonts w:eastAsiaTheme="minorEastAsia"/>
                <w:color w:val="000000"/>
                <w:sz w:val="20"/>
                <w:szCs w:val="20"/>
                <w:lang w:bidi="ar-SA"/>
              </w:rPr>
              <w:t>different. Some therefore claim that the eigenvalues from one</w:t>
            </w:r>
          </w:p>
        </w:tc>
      </w:tr>
    </w:tbl>
    <w:p w14:paraId="6D317B0C"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269"/>
      </w:tblGrid>
      <w:tr w:rsidR="0012612E" w:rsidRPr="0012612E" w14:paraId="27B5B49E" w14:textId="77777777" w:rsidTr="00891BF9">
        <w:trPr>
          <w:cantSplit/>
        </w:trPr>
        <w:tc>
          <w:tcPr>
            <w:tcW w:w="4269"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1E4A6948"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4" w:name="IDX30"/>
            <w:bookmarkEnd w:id="24"/>
            <w:r w:rsidRPr="0012612E">
              <w:rPr>
                <w:rFonts w:eastAsiaTheme="minorEastAsia"/>
                <w:color w:val="000000"/>
                <w:sz w:val="20"/>
                <w:szCs w:val="20"/>
                <w:lang w:bidi="ar-SA"/>
              </w:rPr>
              <w:t>extraction method should not be used to determine</w:t>
            </w:r>
          </w:p>
        </w:tc>
      </w:tr>
    </w:tbl>
    <w:p w14:paraId="00DED37D"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4528"/>
      </w:tblGrid>
      <w:tr w:rsidR="0012612E" w:rsidRPr="0012612E" w14:paraId="3ED9296E" w14:textId="77777777" w:rsidTr="00891BF9">
        <w:trPr>
          <w:cantSplit/>
        </w:trPr>
        <w:tc>
          <w:tcPr>
            <w:tcW w:w="4528"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7F641DD3"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5" w:name="IDX31"/>
            <w:bookmarkEnd w:id="25"/>
            <w:r w:rsidRPr="0012612E">
              <w:rPr>
                <w:rFonts w:eastAsiaTheme="minorEastAsia"/>
                <w:color w:val="000000"/>
                <w:sz w:val="20"/>
                <w:szCs w:val="20"/>
                <w:lang w:bidi="ar-SA"/>
              </w:rPr>
              <w:t>the number of factors for the other extraction method.</w:t>
            </w:r>
          </w:p>
        </w:tc>
      </w:tr>
    </w:tbl>
    <w:p w14:paraId="2C17370E" w14:textId="77777777" w:rsidR="0012612E" w:rsidRPr="0012612E" w:rsidRDefault="0012612E" w:rsidP="0012612E">
      <w:pPr>
        <w:autoSpaceDE w:val="0"/>
        <w:autoSpaceDN w:val="0"/>
        <w:adjustRightInd w:val="0"/>
        <w:rPr>
          <w:rFonts w:eastAsiaTheme="minorEastAsia"/>
          <w:color w:val="000000"/>
          <w:sz w:val="20"/>
          <w:szCs w:val="20"/>
          <w:lang w:bidi="ar-SA"/>
        </w:rPr>
      </w:pPr>
    </w:p>
    <w:tbl>
      <w:tblPr>
        <w:tblW w:w="0" w:type="auto"/>
        <w:tblInd w:w="60" w:type="dxa"/>
        <w:tblLayout w:type="fixed"/>
        <w:tblCellMar>
          <w:left w:w="0" w:type="dxa"/>
          <w:right w:w="0" w:type="dxa"/>
        </w:tblCellMar>
        <w:tblLook w:val="0000" w:firstRow="0" w:lastRow="0" w:firstColumn="0" w:lastColumn="0" w:noHBand="0" w:noVBand="0"/>
      </w:tblPr>
      <w:tblGrid>
        <w:gridCol w:w="3631"/>
      </w:tblGrid>
      <w:tr w:rsidR="0012612E" w:rsidRPr="0012612E" w14:paraId="70AD624C" w14:textId="77777777" w:rsidTr="00891BF9">
        <w:trPr>
          <w:cantSplit/>
        </w:trPr>
        <w:tc>
          <w:tcPr>
            <w:tcW w:w="3631" w:type="dxa"/>
            <w:tcBorders>
              <w:top w:val="single" w:sz="6" w:space="0" w:color="000000"/>
              <w:left w:val="single" w:sz="6" w:space="0" w:color="000000"/>
              <w:bottom w:val="single" w:sz="6" w:space="0" w:color="000000"/>
              <w:right w:val="single" w:sz="6" w:space="0" w:color="000000"/>
            </w:tcBorders>
            <w:shd w:val="clear" w:color="auto" w:fill="FFFFFF"/>
            <w:tcMar>
              <w:left w:w="60" w:type="dxa"/>
              <w:right w:w="60" w:type="dxa"/>
            </w:tcMar>
          </w:tcPr>
          <w:p w14:paraId="11A7E29D" w14:textId="77777777" w:rsidR="0012612E" w:rsidRPr="0012612E" w:rsidRDefault="0012612E" w:rsidP="0012612E">
            <w:pPr>
              <w:keepNext/>
              <w:autoSpaceDE w:val="0"/>
              <w:autoSpaceDN w:val="0"/>
              <w:adjustRightInd w:val="0"/>
              <w:spacing w:before="60" w:after="60"/>
              <w:rPr>
                <w:rFonts w:eastAsiaTheme="minorEastAsia"/>
                <w:color w:val="000000"/>
                <w:sz w:val="20"/>
                <w:szCs w:val="20"/>
                <w:lang w:bidi="ar-SA"/>
              </w:rPr>
            </w:pPr>
            <w:bookmarkStart w:id="26" w:name="IDX32"/>
            <w:bookmarkEnd w:id="26"/>
            <w:r w:rsidRPr="0012612E">
              <w:rPr>
                <w:rFonts w:eastAsiaTheme="minorEastAsia"/>
                <w:color w:val="000000"/>
                <w:sz w:val="20"/>
                <w:szCs w:val="20"/>
                <w:lang w:bidi="ar-SA"/>
              </w:rPr>
              <w:t>The issue remains neglected and unsettled.</w:t>
            </w:r>
          </w:p>
        </w:tc>
      </w:tr>
    </w:tbl>
    <w:p w14:paraId="4A4E19BA" w14:textId="77777777" w:rsidR="000514FD" w:rsidRPr="00B67417" w:rsidRDefault="000514FD" w:rsidP="0075398B">
      <w:pPr>
        <w:autoSpaceDE w:val="0"/>
        <w:autoSpaceDN w:val="0"/>
        <w:adjustRightInd w:val="0"/>
        <w:rPr>
          <w:rFonts w:ascii="Arial" w:hAnsi="Arial" w:cs="Arial"/>
          <w:color w:val="000000"/>
          <w:lang w:bidi="ar-SA"/>
        </w:rPr>
      </w:pPr>
    </w:p>
    <w:sectPr w:rsidR="000514FD" w:rsidRPr="00B67417" w:rsidSect="001003B0">
      <w:headerReference w:type="default" r:id="rId10"/>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237A4" w14:textId="77777777" w:rsidR="007F4E82" w:rsidRDefault="007F4E82" w:rsidP="0061214C">
      <w:r>
        <w:separator/>
      </w:r>
    </w:p>
  </w:endnote>
  <w:endnote w:type="continuationSeparator" w:id="0">
    <w:p w14:paraId="0995F35C" w14:textId="77777777" w:rsidR="007F4E82" w:rsidRDefault="007F4E82"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CB25A" w14:textId="77777777" w:rsidR="007F4E82" w:rsidRDefault="007F4E82" w:rsidP="0061214C">
      <w:r>
        <w:separator/>
      </w:r>
    </w:p>
  </w:footnote>
  <w:footnote w:type="continuationSeparator" w:id="0">
    <w:p w14:paraId="3D733730" w14:textId="77777777" w:rsidR="007F4E82" w:rsidRDefault="007F4E82"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B770A" w14:textId="43B28211" w:rsidR="001003B0" w:rsidRDefault="001003B0" w:rsidP="001003B0">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30C044AA" w14:textId="038C9811" w:rsidR="001003B0" w:rsidRDefault="001003B0" w:rsidP="001003B0">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14BB5E99" w14:textId="77777777" w:rsidR="001003B0" w:rsidRDefault="00100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842767"/>
    <w:multiLevelType w:val="hybridMultilevel"/>
    <w:tmpl w:val="467E9BCE"/>
    <w:lvl w:ilvl="0" w:tplc="0EBE0460">
      <w:start w:val="9"/>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BE266F6"/>
    <w:multiLevelType w:val="hybridMultilevel"/>
    <w:tmpl w:val="964EA5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6E16197"/>
    <w:multiLevelType w:val="hybridMultilevel"/>
    <w:tmpl w:val="888A782E"/>
    <w:lvl w:ilvl="0" w:tplc="F55C74E8">
      <w:start w:val="9"/>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D2623B"/>
    <w:multiLevelType w:val="hybridMultilevel"/>
    <w:tmpl w:val="4E9888AA"/>
    <w:lvl w:ilvl="0" w:tplc="995C0B00">
      <w:start w:val="9"/>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 w:numId="19">
    <w:abstractNumId w:val="17"/>
  </w:num>
  <w:num w:numId="20">
    <w:abstractNumId w:val="20"/>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14FD"/>
    <w:rsid w:val="00052BD0"/>
    <w:rsid w:val="0007022A"/>
    <w:rsid w:val="00085582"/>
    <w:rsid w:val="000972DD"/>
    <w:rsid w:val="000C7295"/>
    <w:rsid w:val="000F68BE"/>
    <w:rsid w:val="001003B0"/>
    <w:rsid w:val="001041FC"/>
    <w:rsid w:val="00107F07"/>
    <w:rsid w:val="00114AF2"/>
    <w:rsid w:val="0012612E"/>
    <w:rsid w:val="00142DE9"/>
    <w:rsid w:val="00152FFE"/>
    <w:rsid w:val="001613A7"/>
    <w:rsid w:val="0016289B"/>
    <w:rsid w:val="00175303"/>
    <w:rsid w:val="00176150"/>
    <w:rsid w:val="0017689F"/>
    <w:rsid w:val="001873E1"/>
    <w:rsid w:val="00195333"/>
    <w:rsid w:val="001D394B"/>
    <w:rsid w:val="001E5538"/>
    <w:rsid w:val="001F2D4A"/>
    <w:rsid w:val="002005B5"/>
    <w:rsid w:val="002043A8"/>
    <w:rsid w:val="0021324C"/>
    <w:rsid w:val="002279AF"/>
    <w:rsid w:val="002429E5"/>
    <w:rsid w:val="00271ADA"/>
    <w:rsid w:val="00276F51"/>
    <w:rsid w:val="00281115"/>
    <w:rsid w:val="00296CF2"/>
    <w:rsid w:val="002C111F"/>
    <w:rsid w:val="002C5F73"/>
    <w:rsid w:val="002D7664"/>
    <w:rsid w:val="00305F80"/>
    <w:rsid w:val="0032104A"/>
    <w:rsid w:val="00332A5A"/>
    <w:rsid w:val="00343BEC"/>
    <w:rsid w:val="003510DA"/>
    <w:rsid w:val="003522A9"/>
    <w:rsid w:val="00364325"/>
    <w:rsid w:val="0039673E"/>
    <w:rsid w:val="003A4CF1"/>
    <w:rsid w:val="003B4451"/>
    <w:rsid w:val="003D5107"/>
    <w:rsid w:val="003F1B9D"/>
    <w:rsid w:val="003F5837"/>
    <w:rsid w:val="0040143B"/>
    <w:rsid w:val="00415073"/>
    <w:rsid w:val="004163A2"/>
    <w:rsid w:val="00421DF8"/>
    <w:rsid w:val="00434E21"/>
    <w:rsid w:val="00442FC8"/>
    <w:rsid w:val="00455D0D"/>
    <w:rsid w:val="004777DC"/>
    <w:rsid w:val="00477800"/>
    <w:rsid w:val="00492425"/>
    <w:rsid w:val="00494630"/>
    <w:rsid w:val="004A0328"/>
    <w:rsid w:val="004A305C"/>
    <w:rsid w:val="004C344B"/>
    <w:rsid w:val="004C3AE5"/>
    <w:rsid w:val="004C4780"/>
    <w:rsid w:val="004C58CF"/>
    <w:rsid w:val="004D5E6B"/>
    <w:rsid w:val="004F0D81"/>
    <w:rsid w:val="0050210B"/>
    <w:rsid w:val="00523ABE"/>
    <w:rsid w:val="00533B4C"/>
    <w:rsid w:val="00566822"/>
    <w:rsid w:val="005915B1"/>
    <w:rsid w:val="00593301"/>
    <w:rsid w:val="005A4D64"/>
    <w:rsid w:val="005B11BA"/>
    <w:rsid w:val="005B1952"/>
    <w:rsid w:val="005E0940"/>
    <w:rsid w:val="005E2D90"/>
    <w:rsid w:val="005E62F6"/>
    <w:rsid w:val="005F2A31"/>
    <w:rsid w:val="00602F36"/>
    <w:rsid w:val="0061214C"/>
    <w:rsid w:val="00622ACC"/>
    <w:rsid w:val="00627E2E"/>
    <w:rsid w:val="00640989"/>
    <w:rsid w:val="006647A2"/>
    <w:rsid w:val="00681DAD"/>
    <w:rsid w:val="006859E4"/>
    <w:rsid w:val="006B3331"/>
    <w:rsid w:val="006B5CA6"/>
    <w:rsid w:val="006C3BB9"/>
    <w:rsid w:val="006C6770"/>
    <w:rsid w:val="007216E8"/>
    <w:rsid w:val="0073153C"/>
    <w:rsid w:val="007505A4"/>
    <w:rsid w:val="00752A5A"/>
    <w:rsid w:val="0075398B"/>
    <w:rsid w:val="0076504A"/>
    <w:rsid w:val="00767CAB"/>
    <w:rsid w:val="007D1FB3"/>
    <w:rsid w:val="007E49C0"/>
    <w:rsid w:val="007F4E82"/>
    <w:rsid w:val="00817701"/>
    <w:rsid w:val="008223B7"/>
    <w:rsid w:val="0083553E"/>
    <w:rsid w:val="00863EFF"/>
    <w:rsid w:val="0086746B"/>
    <w:rsid w:val="008852AE"/>
    <w:rsid w:val="008915DE"/>
    <w:rsid w:val="008A3CC3"/>
    <w:rsid w:val="008A6DA0"/>
    <w:rsid w:val="008B38A6"/>
    <w:rsid w:val="008B602C"/>
    <w:rsid w:val="008E4809"/>
    <w:rsid w:val="008F1B7E"/>
    <w:rsid w:val="009006DD"/>
    <w:rsid w:val="00907823"/>
    <w:rsid w:val="00935F1B"/>
    <w:rsid w:val="0094012A"/>
    <w:rsid w:val="0094624F"/>
    <w:rsid w:val="00955DF4"/>
    <w:rsid w:val="009616A5"/>
    <w:rsid w:val="00991A54"/>
    <w:rsid w:val="009B0A63"/>
    <w:rsid w:val="009D0181"/>
    <w:rsid w:val="009D0FC3"/>
    <w:rsid w:val="009D53CA"/>
    <w:rsid w:val="009E14EC"/>
    <w:rsid w:val="009E38C5"/>
    <w:rsid w:val="009F7055"/>
    <w:rsid w:val="00A20C5E"/>
    <w:rsid w:val="00A37E24"/>
    <w:rsid w:val="00A44940"/>
    <w:rsid w:val="00AA4688"/>
    <w:rsid w:val="00AB5632"/>
    <w:rsid w:val="00AC7319"/>
    <w:rsid w:val="00AD3AE6"/>
    <w:rsid w:val="00AD5881"/>
    <w:rsid w:val="00B15047"/>
    <w:rsid w:val="00B15A14"/>
    <w:rsid w:val="00B305E2"/>
    <w:rsid w:val="00B378F2"/>
    <w:rsid w:val="00B41967"/>
    <w:rsid w:val="00B60390"/>
    <w:rsid w:val="00B65FAE"/>
    <w:rsid w:val="00B67417"/>
    <w:rsid w:val="00B70D9E"/>
    <w:rsid w:val="00B7260C"/>
    <w:rsid w:val="00B77FAE"/>
    <w:rsid w:val="00B83198"/>
    <w:rsid w:val="00B9267E"/>
    <w:rsid w:val="00BA347B"/>
    <w:rsid w:val="00BC6E71"/>
    <w:rsid w:val="00BD4140"/>
    <w:rsid w:val="00BE5389"/>
    <w:rsid w:val="00C0366A"/>
    <w:rsid w:val="00C06806"/>
    <w:rsid w:val="00C23E4E"/>
    <w:rsid w:val="00C46220"/>
    <w:rsid w:val="00C501F5"/>
    <w:rsid w:val="00C8150B"/>
    <w:rsid w:val="00C90787"/>
    <w:rsid w:val="00C93B14"/>
    <w:rsid w:val="00CD3913"/>
    <w:rsid w:val="00CE770F"/>
    <w:rsid w:val="00D008F8"/>
    <w:rsid w:val="00D025BD"/>
    <w:rsid w:val="00D06A83"/>
    <w:rsid w:val="00D16D74"/>
    <w:rsid w:val="00D32247"/>
    <w:rsid w:val="00D448E9"/>
    <w:rsid w:val="00D47D73"/>
    <w:rsid w:val="00D53E40"/>
    <w:rsid w:val="00D54467"/>
    <w:rsid w:val="00D81E8A"/>
    <w:rsid w:val="00D82FC2"/>
    <w:rsid w:val="00D91072"/>
    <w:rsid w:val="00D974CA"/>
    <w:rsid w:val="00DC1C5C"/>
    <w:rsid w:val="00DD6DEB"/>
    <w:rsid w:val="00DE0E07"/>
    <w:rsid w:val="00DE5F09"/>
    <w:rsid w:val="00DF14CC"/>
    <w:rsid w:val="00DF412B"/>
    <w:rsid w:val="00E14128"/>
    <w:rsid w:val="00E25A31"/>
    <w:rsid w:val="00E27D3A"/>
    <w:rsid w:val="00E41333"/>
    <w:rsid w:val="00E430E9"/>
    <w:rsid w:val="00E4588E"/>
    <w:rsid w:val="00E546E8"/>
    <w:rsid w:val="00E64B84"/>
    <w:rsid w:val="00E94EEC"/>
    <w:rsid w:val="00EA0D4C"/>
    <w:rsid w:val="00EA7A52"/>
    <w:rsid w:val="00EB1857"/>
    <w:rsid w:val="00ED098D"/>
    <w:rsid w:val="00F0343B"/>
    <w:rsid w:val="00F04039"/>
    <w:rsid w:val="00F05F6D"/>
    <w:rsid w:val="00F1273A"/>
    <w:rsid w:val="00F12860"/>
    <w:rsid w:val="00F14859"/>
    <w:rsid w:val="00F15697"/>
    <w:rsid w:val="00F25617"/>
    <w:rsid w:val="00F26002"/>
    <w:rsid w:val="00F4025C"/>
    <w:rsid w:val="00F8667B"/>
    <w:rsid w:val="00F87198"/>
    <w:rsid w:val="00FA42CE"/>
    <w:rsid w:val="00FA5EFB"/>
    <w:rsid w:val="00FE1D69"/>
    <w:rsid w:val="00FE7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5E"/>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character" w:styleId="Hyperlink">
    <w:name w:val="Hyperlink"/>
    <w:basedOn w:val="DefaultParagraphFont"/>
    <w:uiPriority w:val="99"/>
    <w:unhideWhenUsed/>
    <w:rsid w:val="00D06A83"/>
    <w:rPr>
      <w:color w:val="0563C1" w:themeColor="hyperlink"/>
      <w:u w:val="single"/>
    </w:rPr>
  </w:style>
  <w:style w:type="character" w:customStyle="1" w:styleId="UnresolvedMention">
    <w:name w:val="Unresolved Mention"/>
    <w:basedOn w:val="DefaultParagraphFont"/>
    <w:uiPriority w:val="99"/>
    <w:semiHidden/>
    <w:unhideWhenUsed/>
    <w:rsid w:val="00D06A83"/>
    <w:rPr>
      <w:color w:val="605E5C"/>
      <w:shd w:val="clear" w:color="auto" w:fill="E1DFDD"/>
    </w:rPr>
  </w:style>
  <w:style w:type="character" w:styleId="FollowedHyperlink">
    <w:name w:val="FollowedHyperlink"/>
    <w:basedOn w:val="DefaultParagraphFont"/>
    <w:uiPriority w:val="99"/>
    <w:semiHidden/>
    <w:unhideWhenUsed/>
    <w:rsid w:val="005F2A31"/>
    <w:rPr>
      <w:color w:val="954F72" w:themeColor="followedHyperlink"/>
      <w:u w:val="single"/>
    </w:rPr>
  </w:style>
  <w:style w:type="paragraph" w:styleId="Header">
    <w:name w:val="header"/>
    <w:basedOn w:val="Normal"/>
    <w:link w:val="HeaderChar"/>
    <w:uiPriority w:val="99"/>
    <w:unhideWhenUsed/>
    <w:rsid w:val="001003B0"/>
    <w:pPr>
      <w:tabs>
        <w:tab w:val="center" w:pos="4680"/>
        <w:tab w:val="right" w:pos="9360"/>
      </w:tabs>
    </w:pPr>
  </w:style>
  <w:style w:type="character" w:customStyle="1" w:styleId="HeaderChar">
    <w:name w:val="Header Char"/>
    <w:basedOn w:val="DefaultParagraphFont"/>
    <w:link w:val="Header"/>
    <w:uiPriority w:val="99"/>
    <w:rsid w:val="001003B0"/>
    <w:rPr>
      <w:sz w:val="24"/>
      <w:szCs w:val="24"/>
      <w:lang w:bidi="en-US"/>
    </w:rPr>
  </w:style>
  <w:style w:type="paragraph" w:styleId="Footer">
    <w:name w:val="footer"/>
    <w:basedOn w:val="Normal"/>
    <w:link w:val="FooterChar"/>
    <w:uiPriority w:val="99"/>
    <w:unhideWhenUsed/>
    <w:rsid w:val="001003B0"/>
    <w:pPr>
      <w:tabs>
        <w:tab w:val="center" w:pos="4680"/>
        <w:tab w:val="right" w:pos="9360"/>
      </w:tabs>
    </w:pPr>
  </w:style>
  <w:style w:type="character" w:customStyle="1" w:styleId="FooterChar">
    <w:name w:val="Footer Char"/>
    <w:basedOn w:val="DefaultParagraphFont"/>
    <w:link w:val="Footer"/>
    <w:uiPriority w:val="99"/>
    <w:rsid w:val="001003B0"/>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73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ople.ok.ubc.ca/brioconn/nfactors/nfactor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pringer.com/psychology/cognitive+psychology/journal/134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D4D16-AEF7-4E80-8105-6F574C962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4</cp:revision>
  <cp:lastPrinted>2021-03-14T21:54:00Z</cp:lastPrinted>
  <dcterms:created xsi:type="dcterms:W3CDTF">2021-03-14T21:53:00Z</dcterms:created>
  <dcterms:modified xsi:type="dcterms:W3CDTF">2021-08-17T21:55:00Z</dcterms:modified>
</cp:coreProperties>
</file>